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C" w:rsidRPr="0026188C" w:rsidRDefault="004C4C68">
      <w:pPr>
        <w:rPr>
          <w:sz w:val="20"/>
          <w:szCs w:val="20"/>
          <w:lang w:val="en-US"/>
        </w:rPr>
      </w:pPr>
      <w:bookmarkStart w:id="0" w:name="_GoBack"/>
      <w:bookmarkEnd w:id="0"/>
      <w:r w:rsidRPr="0026188C">
        <w:rPr>
          <w:sz w:val="20"/>
          <w:szCs w:val="20"/>
          <w:lang w:val="en-US"/>
        </w:rPr>
        <w:t>Comparison of Current Pension Benefits and Proposed UPP3 JSPP Provisions at University of Guelph</w:t>
      </w:r>
    </w:p>
    <w:p w:rsidR="004C4C68" w:rsidRDefault="004C4C68">
      <w:pPr>
        <w:rPr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4"/>
        <w:gridCol w:w="1282"/>
        <w:gridCol w:w="2867"/>
        <w:gridCol w:w="1985"/>
        <w:gridCol w:w="2816"/>
      </w:tblGrid>
      <w:tr w:rsidR="004C4C68" w:rsidRPr="004C4C68" w:rsidTr="00951D37">
        <w:trPr>
          <w:tblHeader/>
        </w:trPr>
        <w:tc>
          <w:tcPr>
            <w:tcW w:w="1646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Benefit Provisions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Current University of Guelph Retirement Plan (UGRP) for CUPE, OSSTF, Unifor, OPSEU, USW, UG</w:t>
            </w:r>
            <w:r w:rsidR="000575D0" w:rsidRPr="00942D33">
              <w:rPr>
                <w:sz w:val="20"/>
                <w:szCs w:val="20"/>
                <w:lang w:val="en-US"/>
              </w:rPr>
              <w:t>FSEA, and Exempt Group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Proposed University Pensions Project 3 (UPP3) Plan</w:t>
            </w:r>
          </w:p>
          <w:p w:rsidR="00307CFE" w:rsidRPr="00307CFE" w:rsidRDefault="00307CFE" w:rsidP="004C4C6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7CFE">
              <w:rPr>
                <w:b/>
                <w:color w:val="00B050"/>
                <w:sz w:val="20"/>
                <w:szCs w:val="20"/>
                <w:lang w:val="en-US"/>
              </w:rPr>
              <w:t>Items in Green are Improvements in UPP3</w:t>
            </w:r>
            <w:r>
              <w:rPr>
                <w:b/>
                <w:color w:val="00B050"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Red text = reduction in UPP3, </w:t>
            </w:r>
            <w:r w:rsidRPr="00307CFE">
              <w:rPr>
                <w:sz w:val="20"/>
                <w:szCs w:val="20"/>
                <w:lang w:val="en-US"/>
              </w:rPr>
              <w:t>Black text is status quo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C68" w:rsidRPr="00942D33" w:rsidRDefault="004C4C68" w:rsidP="00DB5FD6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Current University of Guelph Professional Pension Plan</w:t>
            </w:r>
            <w:r w:rsidR="00DB5FD6" w:rsidRPr="00942D33">
              <w:rPr>
                <w:sz w:val="20"/>
                <w:szCs w:val="20"/>
                <w:lang w:val="en-US"/>
              </w:rPr>
              <w:t>(UGPPP)</w:t>
            </w:r>
            <w:r w:rsidRPr="00942D33">
              <w:rPr>
                <w:sz w:val="20"/>
                <w:szCs w:val="20"/>
                <w:lang w:val="en-US"/>
              </w:rPr>
              <w:t xml:space="preserve"> for Faculty Association</w:t>
            </w:r>
            <w:r w:rsidR="005D3F9D" w:rsidRPr="00942D33">
              <w:rPr>
                <w:sz w:val="20"/>
                <w:szCs w:val="20"/>
                <w:lang w:val="en-US"/>
              </w:rPr>
              <w:t xml:space="preserve"> (UGFA), ONA, CARG, and Professional &amp; Management</w:t>
            </w:r>
            <w:r w:rsidRPr="00942D33">
              <w:rPr>
                <w:sz w:val="20"/>
                <w:szCs w:val="20"/>
                <w:lang w:val="en-US"/>
              </w:rPr>
              <w:t xml:space="preserve"> Employees</w:t>
            </w:r>
            <w:r w:rsidR="005D3F9D" w:rsidRPr="00942D33">
              <w:rPr>
                <w:sz w:val="20"/>
                <w:szCs w:val="20"/>
                <w:lang w:val="en-US"/>
              </w:rPr>
              <w:t xml:space="preserve"> (P&amp;M)</w:t>
            </w:r>
          </w:p>
        </w:tc>
      </w:tr>
      <w:tr w:rsidR="004C4C68" w:rsidRPr="004C4C68" w:rsidTr="00951D37"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lang w:val="en-US"/>
              </w:rPr>
            </w:pPr>
            <w:r w:rsidRPr="004C4C68">
              <w:rPr>
                <w:lang w:val="en-US"/>
              </w:rPr>
              <w:t>1</w:t>
            </w:r>
          </w:p>
        </w:tc>
        <w:tc>
          <w:tcPr>
            <w:tcW w:w="1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Average Earnings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Best Average Earnings of 3 (BAE(3)) consecutive years or 36 consecutive months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 xml:space="preserve">Best Average Earnings of </w:t>
            </w:r>
            <w:r w:rsidRPr="005C2BA2">
              <w:rPr>
                <w:b/>
                <w:color w:val="00B050"/>
                <w:sz w:val="20"/>
                <w:szCs w:val="20"/>
                <w:lang w:val="en-US"/>
              </w:rPr>
              <w:t xml:space="preserve">4 </w:t>
            </w:r>
            <w:r w:rsidRPr="005C2BA2">
              <w:rPr>
                <w:b/>
                <w:color w:val="FF0000"/>
                <w:sz w:val="20"/>
                <w:szCs w:val="20"/>
                <w:lang w:val="en-US"/>
              </w:rPr>
              <w:t>(BAE(4))</w:t>
            </w:r>
            <w:r w:rsidRPr="005C2BA2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4C4C68">
              <w:rPr>
                <w:sz w:val="20"/>
                <w:szCs w:val="20"/>
                <w:lang w:val="en-US"/>
              </w:rPr>
              <w:t xml:space="preserve">non-consecutive years or 48 </w:t>
            </w:r>
            <w:r w:rsidRPr="005C2BA2">
              <w:rPr>
                <w:b/>
                <w:color w:val="00B050"/>
                <w:sz w:val="20"/>
                <w:szCs w:val="20"/>
                <w:lang w:val="en-US"/>
              </w:rPr>
              <w:t>non-consecutive</w:t>
            </w:r>
            <w:r w:rsidRPr="005C2BA2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r w:rsidRPr="004C4C68">
              <w:rPr>
                <w:sz w:val="20"/>
                <w:szCs w:val="20"/>
                <w:lang w:val="en-US"/>
              </w:rPr>
              <w:t>months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C68" w:rsidRPr="004C4C68" w:rsidRDefault="005D3F9D" w:rsidP="00DB5FD6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Best Average Earnings of 3 (BAE(3)) consecutive years or 36 consecutive months</w:t>
            </w:r>
          </w:p>
        </w:tc>
      </w:tr>
      <w:tr w:rsidR="004C4C68" w:rsidRPr="004C4C68" w:rsidTr="00951D37"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lang w:val="en-US"/>
              </w:rPr>
            </w:pPr>
            <w:r w:rsidRPr="004C4C68">
              <w:rPr>
                <w:lang w:val="en-US"/>
              </w:rPr>
              <w:t>2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Accrual Rate</w:t>
            </w:r>
          </w:p>
        </w:tc>
        <w:tc>
          <w:tcPr>
            <w:tcW w:w="2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14D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1.6 % up to YMPE</w:t>
            </w:r>
            <w:r w:rsidR="00DB5FD6">
              <w:rPr>
                <w:sz w:val="20"/>
                <w:szCs w:val="20"/>
                <w:lang w:val="en-US"/>
              </w:rPr>
              <w:t xml:space="preserve"> </w:t>
            </w:r>
          </w:p>
          <w:p w:rsidR="004C4C68" w:rsidRDefault="00DB5FD6" w:rsidP="004C4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(OSSTF, CUPE</w:t>
            </w:r>
            <w:r w:rsidR="000575D0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USW</w:t>
            </w:r>
            <w:r w:rsidR="000575D0">
              <w:rPr>
                <w:sz w:val="20"/>
                <w:szCs w:val="20"/>
                <w:lang w:val="en-US"/>
              </w:rPr>
              <w:t>, &amp; Exempt Group)</w:t>
            </w:r>
          </w:p>
          <w:p w:rsidR="00B7514D" w:rsidRDefault="000575D0" w:rsidP="004C4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="00B7514D">
              <w:rPr>
                <w:sz w:val="20"/>
                <w:szCs w:val="20"/>
                <w:lang w:val="en-US"/>
              </w:rPr>
              <w:t>5 % up to YM</w:t>
            </w:r>
            <w:r>
              <w:rPr>
                <w:sz w:val="20"/>
                <w:szCs w:val="20"/>
                <w:lang w:val="en-US"/>
              </w:rPr>
              <w:t xml:space="preserve">PE </w:t>
            </w:r>
          </w:p>
          <w:p w:rsidR="00DB5FD6" w:rsidRPr="004C4C68" w:rsidRDefault="000575D0" w:rsidP="004C4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(OPSEU, </w:t>
            </w:r>
            <w:r w:rsidR="00DB5FD6">
              <w:rPr>
                <w:sz w:val="20"/>
                <w:szCs w:val="20"/>
                <w:lang w:val="en-US"/>
              </w:rPr>
              <w:t>Unifor</w:t>
            </w:r>
            <w:r>
              <w:rPr>
                <w:sz w:val="20"/>
                <w:szCs w:val="20"/>
                <w:lang w:val="en-US"/>
              </w:rPr>
              <w:t xml:space="preserve"> &amp; UGFSEA</w:t>
            </w:r>
            <w:r w:rsidR="00DB5FD6">
              <w:rPr>
                <w:sz w:val="20"/>
                <w:szCs w:val="20"/>
                <w:lang w:val="en-US"/>
              </w:rPr>
              <w:t>)</w:t>
            </w:r>
          </w:p>
          <w:p w:rsidR="004C4C68" w:rsidRPr="004C4C68" w:rsidRDefault="00B7514D" w:rsidP="00B751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2.0 % above YMPE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5C2BA2">
              <w:rPr>
                <w:b/>
                <w:color w:val="00B050"/>
                <w:sz w:val="20"/>
                <w:szCs w:val="20"/>
                <w:lang w:val="en-US"/>
              </w:rPr>
              <w:t>1.6 %</w:t>
            </w:r>
            <w:r w:rsidRPr="005C2BA2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r w:rsidR="00953E50">
              <w:rPr>
                <w:color w:val="00B050"/>
                <w:sz w:val="20"/>
                <w:szCs w:val="20"/>
                <w:lang w:val="en-US"/>
              </w:rPr>
              <w:t>(</w:t>
            </w:r>
            <w:r w:rsidR="00562A24">
              <w:rPr>
                <w:color w:val="00B050"/>
                <w:sz w:val="20"/>
                <w:szCs w:val="20"/>
                <w:lang w:val="en-US"/>
              </w:rPr>
              <w:t xml:space="preserve">Improvement </w:t>
            </w:r>
            <w:r w:rsidR="00953E50">
              <w:rPr>
                <w:color w:val="00B050"/>
                <w:sz w:val="20"/>
                <w:szCs w:val="20"/>
                <w:lang w:val="en-US"/>
              </w:rPr>
              <w:t>only for OPSEU, Unifor, UGFSEA, &amp; UGPPP Members</w:t>
            </w:r>
            <w:r w:rsidR="00562A24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r w:rsidR="00562A24">
              <w:rPr>
                <w:sz w:val="20"/>
                <w:szCs w:val="20"/>
                <w:lang w:val="en-US"/>
              </w:rPr>
              <w:t>status quo for other groups</w:t>
            </w:r>
            <w:r w:rsidR="00953E50">
              <w:rPr>
                <w:color w:val="00B050"/>
                <w:sz w:val="20"/>
                <w:szCs w:val="20"/>
                <w:lang w:val="en-US"/>
              </w:rPr>
              <w:t xml:space="preserve">) </w:t>
            </w:r>
            <w:r w:rsidRPr="004C4C68">
              <w:rPr>
                <w:sz w:val="20"/>
                <w:szCs w:val="20"/>
                <w:lang w:val="en-US"/>
              </w:rPr>
              <w:t>up to YMPE</w:t>
            </w:r>
          </w:p>
          <w:p w:rsidR="004C4C68" w:rsidRPr="004C4C68" w:rsidRDefault="00B7514D" w:rsidP="00B751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2.0 % above YMPE</w:t>
            </w: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:rsidR="004C4C68" w:rsidRDefault="005D3F9D" w:rsidP="00DB5F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1.5 % up to YMPE</w:t>
            </w:r>
          </w:p>
          <w:p w:rsidR="005D3F9D" w:rsidRPr="004C4C68" w:rsidRDefault="00B7514D" w:rsidP="00B751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2.0 % above YMPE</w:t>
            </w:r>
          </w:p>
        </w:tc>
      </w:tr>
      <w:tr w:rsidR="004C4C68" w:rsidRPr="004C4C68" w:rsidTr="00951D37"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4C4C68" w:rsidRPr="004C4C68" w:rsidRDefault="00420331" w:rsidP="004C4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 xml:space="preserve">Pension Formula for Defined Benefit Plan </w:t>
            </w:r>
          </w:p>
        </w:tc>
        <w:tc>
          <w:tcPr>
            <w:tcW w:w="2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3F9D" w:rsidRPr="004C4C68" w:rsidRDefault="004C4C68" w:rsidP="005D3F9D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Accrual Rate x BAE(3) x Years of Service in UGRP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5D3F9D" w:rsidRPr="004C4C68" w:rsidRDefault="004C4C68" w:rsidP="005D3F9D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Accrual Rate x BAE(4) x Years of Service in UPP3</w:t>
            </w: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:rsidR="005D3F9D" w:rsidRPr="004C4C68" w:rsidRDefault="00DB5FD6" w:rsidP="005D3F9D">
            <w:pPr>
              <w:jc w:val="center"/>
              <w:rPr>
                <w:sz w:val="20"/>
                <w:szCs w:val="20"/>
                <w:lang w:val="en-US"/>
              </w:rPr>
            </w:pPr>
            <w:r w:rsidRPr="00DB5FD6">
              <w:rPr>
                <w:sz w:val="20"/>
                <w:szCs w:val="20"/>
                <w:lang w:val="en-US"/>
              </w:rPr>
              <w:t>Accrual Rate x B</w:t>
            </w:r>
            <w:r>
              <w:rPr>
                <w:sz w:val="20"/>
                <w:szCs w:val="20"/>
                <w:lang w:val="en-US"/>
              </w:rPr>
              <w:t>A</w:t>
            </w:r>
            <w:r w:rsidR="005D3F9D">
              <w:rPr>
                <w:sz w:val="20"/>
                <w:szCs w:val="20"/>
                <w:lang w:val="en-US"/>
              </w:rPr>
              <w:t>E(3) x Years of Service in UGP</w:t>
            </w:r>
            <w:r w:rsidR="00420331">
              <w:rPr>
                <w:sz w:val="20"/>
                <w:szCs w:val="20"/>
                <w:lang w:val="en-US"/>
              </w:rPr>
              <w:t>PP</w:t>
            </w:r>
          </w:p>
        </w:tc>
      </w:tr>
      <w:tr w:rsidR="004C4C68" w:rsidRPr="004C4C68" w:rsidTr="00951D37"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lang w:val="en-US"/>
              </w:rPr>
            </w:pPr>
            <w:r w:rsidRPr="004C4C68">
              <w:rPr>
                <w:lang w:val="en-US"/>
              </w:rPr>
              <w:t>4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Post-Retirement Indexation</w:t>
            </w:r>
          </w:p>
          <w:p w:rsidR="00420331" w:rsidRPr="00942D33" w:rsidRDefault="00420331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Formula</w:t>
            </w:r>
          </w:p>
        </w:tc>
        <w:tc>
          <w:tcPr>
            <w:tcW w:w="2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(CPI – 2 %)</w:t>
            </w:r>
          </w:p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CPI = Consumer Price Index</w:t>
            </w:r>
          </w:p>
          <w:p w:rsidR="004C4C68" w:rsidRPr="004C4C68" w:rsidRDefault="004C4C68" w:rsidP="00E22B87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If CPI is less than or equal to 2 % then no indexation would apply for that year.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C4C68" w:rsidRPr="00E22B87" w:rsidRDefault="004C4C68" w:rsidP="00E22B87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 w:rsidRPr="005C2BA2">
              <w:rPr>
                <w:b/>
                <w:color w:val="00B050"/>
                <w:sz w:val="20"/>
                <w:szCs w:val="20"/>
                <w:lang w:val="en-US"/>
              </w:rPr>
              <w:t>(75 % of CPI)</w:t>
            </w:r>
          </w:p>
          <w:p w:rsidR="004C4C68" w:rsidRPr="004C4C68" w:rsidRDefault="004C4C68" w:rsidP="00E22B87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Unless CPI = 0 % there will always be</w:t>
            </w:r>
            <w:r w:rsidR="00DB5FD6">
              <w:rPr>
                <w:sz w:val="20"/>
                <w:szCs w:val="20"/>
                <w:lang w:val="en-US"/>
              </w:rPr>
              <w:t xml:space="preserve"> the potential for</w:t>
            </w:r>
            <w:r w:rsidRPr="004C4C68">
              <w:rPr>
                <w:sz w:val="20"/>
                <w:szCs w:val="20"/>
                <w:lang w:val="en-US"/>
              </w:rPr>
              <w:t xml:space="preserve"> some indexation.</w:t>
            </w: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:rsidR="00DB5FD6" w:rsidRPr="004C4C68" w:rsidRDefault="00DB5FD6" w:rsidP="00DB5FD6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(CPI – 2 %)</w:t>
            </w:r>
          </w:p>
          <w:p w:rsidR="00DB5FD6" w:rsidRPr="004C4C68" w:rsidRDefault="00DB5FD6" w:rsidP="00DB5FD6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CPI = Consumer Price Index</w:t>
            </w:r>
          </w:p>
          <w:p w:rsidR="004C4C68" w:rsidRPr="004C4C68" w:rsidRDefault="00DB5FD6" w:rsidP="00E22B87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If CPI is less than or equal to 2 % then no indexation would apply for that year.</w:t>
            </w:r>
          </w:p>
        </w:tc>
      </w:tr>
      <w:tr w:rsidR="00420331" w:rsidRPr="004C4C68" w:rsidTr="00951D37"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420331" w:rsidRPr="004C4C68" w:rsidRDefault="00420331" w:rsidP="004C4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420331" w:rsidRPr="00942D33" w:rsidRDefault="00420331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Guaranteed or Conditional Indexation</w:t>
            </w:r>
          </w:p>
        </w:tc>
        <w:tc>
          <w:tcPr>
            <w:tcW w:w="2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0331" w:rsidRPr="004C4C68" w:rsidRDefault="00420331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Indexation is funded and guaranteed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20331" w:rsidRPr="004C4C68" w:rsidRDefault="00420331" w:rsidP="00420331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Indexation</w:t>
            </w:r>
            <w:r>
              <w:rPr>
                <w:sz w:val="20"/>
                <w:szCs w:val="20"/>
                <w:lang w:val="en-US"/>
              </w:rPr>
              <w:t xml:space="preserve"> is funded </w:t>
            </w:r>
            <w:r w:rsidRPr="005C2BA2">
              <w:rPr>
                <w:b/>
                <w:color w:val="FF0000"/>
                <w:sz w:val="20"/>
                <w:szCs w:val="20"/>
                <w:lang w:val="en-US"/>
              </w:rPr>
              <w:t>but conditional as determined by</w:t>
            </w:r>
            <w:r>
              <w:rPr>
                <w:sz w:val="20"/>
                <w:szCs w:val="20"/>
                <w:lang w:val="en-US"/>
              </w:rPr>
              <w:t xml:space="preserve"> Plan Sponsors</w:t>
            </w: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:rsidR="00420331" w:rsidRPr="004C4C68" w:rsidRDefault="00420331" w:rsidP="00DB5FD6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Indexation is funded and guaranteed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4C4C68" w:rsidRPr="004C4C68" w:rsidTr="00951D37"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4C4C68" w:rsidRPr="004C4C68" w:rsidRDefault="00420331" w:rsidP="004C4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Form of Guarantee with a Spouse at Retirement</w:t>
            </w:r>
          </w:p>
        </w:tc>
        <w:tc>
          <w:tcPr>
            <w:tcW w:w="2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Joint &amp; Survivor = 60 %</w:t>
            </w:r>
          </w:p>
          <w:p w:rsidR="004C4C68" w:rsidRPr="004C4C68" w:rsidRDefault="00DB5FD6" w:rsidP="004C4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J&amp;S(60%) means that if member </w:t>
            </w:r>
            <w:r w:rsidR="004C4C68" w:rsidRPr="004C4C68">
              <w:rPr>
                <w:sz w:val="20"/>
                <w:szCs w:val="20"/>
                <w:lang w:val="en-US"/>
              </w:rPr>
              <w:t>die</w:t>
            </w:r>
            <w:r>
              <w:rPr>
                <w:sz w:val="20"/>
                <w:szCs w:val="20"/>
                <w:lang w:val="en-US"/>
              </w:rPr>
              <w:t xml:space="preserve">s before </w:t>
            </w:r>
            <w:r w:rsidR="00033ED0">
              <w:rPr>
                <w:sz w:val="20"/>
                <w:szCs w:val="20"/>
                <w:lang w:val="en-US"/>
              </w:rPr>
              <w:t xml:space="preserve">his or her </w:t>
            </w:r>
            <w:r>
              <w:rPr>
                <w:sz w:val="20"/>
                <w:szCs w:val="20"/>
                <w:lang w:val="en-US"/>
              </w:rPr>
              <w:t xml:space="preserve">spouse then eligible </w:t>
            </w:r>
            <w:r w:rsidR="004C4C68" w:rsidRPr="004C4C68">
              <w:rPr>
                <w:sz w:val="20"/>
                <w:szCs w:val="20"/>
                <w:lang w:val="en-US"/>
              </w:rPr>
              <w:t>spouse will continue to receive a reduced pension in the amount of 60</w:t>
            </w:r>
            <w:r w:rsidR="00033ED0">
              <w:rPr>
                <w:sz w:val="20"/>
                <w:szCs w:val="20"/>
                <w:lang w:val="en-US"/>
              </w:rPr>
              <w:t xml:space="preserve"> % of member’s </w:t>
            </w:r>
            <w:r w:rsidR="004C4C68" w:rsidRPr="004C4C68">
              <w:rPr>
                <w:sz w:val="20"/>
                <w:szCs w:val="20"/>
                <w:lang w:val="en-US"/>
              </w:rPr>
              <w:t>pensi</w:t>
            </w:r>
            <w:r w:rsidR="00033ED0">
              <w:rPr>
                <w:sz w:val="20"/>
                <w:szCs w:val="20"/>
                <w:lang w:val="en-US"/>
              </w:rPr>
              <w:t>on for the rest of their</w:t>
            </w:r>
            <w:r w:rsidR="004C4C68" w:rsidRPr="004C4C68">
              <w:rPr>
                <w:sz w:val="20"/>
                <w:szCs w:val="20"/>
                <w:lang w:val="en-US"/>
              </w:rPr>
              <w:t xml:space="preserve"> life.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2D2642" w:rsidRDefault="002D2642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5C2BA2">
              <w:rPr>
                <w:b/>
                <w:color w:val="FF0000"/>
                <w:sz w:val="20"/>
                <w:szCs w:val="20"/>
                <w:lang w:val="en-US"/>
              </w:rPr>
              <w:t>J&amp;</w:t>
            </w:r>
            <w:proofErr w:type="gramStart"/>
            <w:r w:rsidRPr="005C2BA2">
              <w:rPr>
                <w:b/>
                <w:color w:val="FF0000"/>
                <w:sz w:val="20"/>
                <w:szCs w:val="20"/>
                <w:lang w:val="en-US"/>
              </w:rPr>
              <w:t>S(</w:t>
            </w:r>
            <w:proofErr w:type="gramEnd"/>
            <w:r w:rsidRPr="005C2BA2">
              <w:rPr>
                <w:b/>
                <w:color w:val="FF0000"/>
                <w:sz w:val="20"/>
                <w:szCs w:val="20"/>
                <w:lang w:val="en-US"/>
              </w:rPr>
              <w:t>50%)</w:t>
            </w:r>
            <w:r w:rsidRPr="005C2BA2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= </w:t>
            </w:r>
          </w:p>
          <w:p w:rsidR="004C4C68" w:rsidRPr="004C4C68" w:rsidRDefault="002D2642" w:rsidP="004C4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Joint &amp; Survivor of</w:t>
            </w:r>
            <w:r w:rsidR="004C4C68" w:rsidRPr="004C4C68">
              <w:rPr>
                <w:sz w:val="20"/>
                <w:szCs w:val="20"/>
                <w:lang w:val="en-US"/>
              </w:rPr>
              <w:t xml:space="preserve"> </w:t>
            </w:r>
            <w:r w:rsidR="00E22B87">
              <w:rPr>
                <w:sz w:val="20"/>
                <w:szCs w:val="20"/>
                <w:lang w:val="en-US"/>
              </w:rPr>
              <w:t xml:space="preserve"> </w:t>
            </w:r>
            <w:r w:rsidR="004C4C68" w:rsidRPr="004C4C68">
              <w:rPr>
                <w:sz w:val="20"/>
                <w:szCs w:val="20"/>
                <w:lang w:val="en-US"/>
              </w:rPr>
              <w:t>50 %</w:t>
            </w:r>
          </w:p>
          <w:p w:rsidR="004C4C68" w:rsidRPr="004C4C68" w:rsidRDefault="004C4C68" w:rsidP="002D264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:rsidR="00033ED0" w:rsidRPr="004C4C68" w:rsidRDefault="00033ED0" w:rsidP="00033ED0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Joint &amp; Survivor = 60 %</w:t>
            </w:r>
          </w:p>
          <w:p w:rsidR="004C4C68" w:rsidRPr="004C4C68" w:rsidRDefault="00033ED0" w:rsidP="00033E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J&amp;S(60%) means that if member </w:t>
            </w:r>
            <w:r w:rsidRPr="004C4C68">
              <w:rPr>
                <w:sz w:val="20"/>
                <w:szCs w:val="20"/>
                <w:lang w:val="en-US"/>
              </w:rPr>
              <w:t>die</w:t>
            </w:r>
            <w:r>
              <w:rPr>
                <w:sz w:val="20"/>
                <w:szCs w:val="20"/>
                <w:lang w:val="en-US"/>
              </w:rPr>
              <w:t xml:space="preserve">s before his or her spouse then eligible </w:t>
            </w:r>
            <w:r w:rsidRPr="004C4C68">
              <w:rPr>
                <w:sz w:val="20"/>
                <w:szCs w:val="20"/>
                <w:lang w:val="en-US"/>
              </w:rPr>
              <w:t>spouse will continue to receive a reduced pension in the amount of 60</w:t>
            </w:r>
            <w:r>
              <w:rPr>
                <w:sz w:val="20"/>
                <w:szCs w:val="20"/>
                <w:lang w:val="en-US"/>
              </w:rPr>
              <w:t xml:space="preserve"> % of member’s </w:t>
            </w:r>
            <w:r w:rsidRPr="004C4C68">
              <w:rPr>
                <w:sz w:val="20"/>
                <w:szCs w:val="20"/>
                <w:lang w:val="en-US"/>
              </w:rPr>
              <w:t>pensi</w:t>
            </w:r>
            <w:r>
              <w:rPr>
                <w:sz w:val="20"/>
                <w:szCs w:val="20"/>
                <w:lang w:val="en-US"/>
              </w:rPr>
              <w:t>on for the rest of their</w:t>
            </w:r>
            <w:r w:rsidRPr="004C4C68">
              <w:rPr>
                <w:sz w:val="20"/>
                <w:szCs w:val="20"/>
                <w:lang w:val="en-US"/>
              </w:rPr>
              <w:t xml:space="preserve"> life.</w:t>
            </w:r>
          </w:p>
        </w:tc>
      </w:tr>
      <w:tr w:rsidR="004C4C68" w:rsidRPr="004C4C68" w:rsidTr="00951D37"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4C4C68" w:rsidRPr="004C4C68" w:rsidRDefault="00420331" w:rsidP="004C4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Form of Guarantee without a Spouse at Retirement</w:t>
            </w:r>
          </w:p>
        </w:tc>
        <w:tc>
          <w:tcPr>
            <w:tcW w:w="2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Life with</w:t>
            </w:r>
            <w:r w:rsidR="00033ED0">
              <w:rPr>
                <w:sz w:val="20"/>
                <w:szCs w:val="20"/>
                <w:lang w:val="en-US"/>
              </w:rPr>
              <w:t xml:space="preserve"> 5-year Guarantee ((LG(5)) means that if member</w:t>
            </w:r>
            <w:r w:rsidRPr="004C4C68">
              <w:rPr>
                <w:sz w:val="20"/>
                <w:szCs w:val="20"/>
                <w:lang w:val="en-US"/>
              </w:rPr>
              <w:t xml:space="preserve"> die</w:t>
            </w:r>
            <w:r w:rsidR="00033ED0">
              <w:rPr>
                <w:sz w:val="20"/>
                <w:szCs w:val="20"/>
                <w:lang w:val="en-US"/>
              </w:rPr>
              <w:t>s</w:t>
            </w:r>
            <w:r w:rsidRPr="004C4C68">
              <w:rPr>
                <w:sz w:val="20"/>
                <w:szCs w:val="20"/>
                <w:lang w:val="en-US"/>
              </w:rPr>
              <w:t xml:space="preserve"> </w:t>
            </w:r>
            <w:r w:rsidR="00033ED0">
              <w:rPr>
                <w:sz w:val="20"/>
                <w:szCs w:val="20"/>
                <w:lang w:val="en-US"/>
              </w:rPr>
              <w:t xml:space="preserve">within the first five (5) years as a retiree the balance of the five years </w:t>
            </w:r>
            <w:r w:rsidR="00F61772">
              <w:rPr>
                <w:sz w:val="20"/>
                <w:szCs w:val="20"/>
                <w:lang w:val="en-US"/>
              </w:rPr>
              <w:t xml:space="preserve">will be paid to the </w:t>
            </w:r>
            <w:r w:rsidRPr="004C4C68">
              <w:rPr>
                <w:sz w:val="20"/>
                <w:szCs w:val="20"/>
                <w:lang w:val="en-US"/>
              </w:rPr>
              <w:t xml:space="preserve">beneficiaries </w:t>
            </w:r>
            <w:r w:rsidR="00F61772">
              <w:rPr>
                <w:sz w:val="20"/>
                <w:szCs w:val="20"/>
                <w:lang w:val="en-US"/>
              </w:rPr>
              <w:t>or estate.  If a member</w:t>
            </w:r>
            <w:r w:rsidRPr="004C4C68">
              <w:rPr>
                <w:sz w:val="20"/>
                <w:szCs w:val="20"/>
                <w:lang w:val="en-US"/>
              </w:rPr>
              <w:t xml:space="preserve"> die</w:t>
            </w:r>
            <w:r w:rsidR="00F61772">
              <w:rPr>
                <w:sz w:val="20"/>
                <w:szCs w:val="20"/>
                <w:lang w:val="en-US"/>
              </w:rPr>
              <w:t>s</w:t>
            </w:r>
            <w:r w:rsidRPr="004C4C68">
              <w:rPr>
                <w:sz w:val="20"/>
                <w:szCs w:val="20"/>
                <w:lang w:val="en-US"/>
              </w:rPr>
              <w:t xml:space="preserve"> after being retired </w:t>
            </w:r>
            <w:r w:rsidRPr="004C4C68">
              <w:rPr>
                <w:sz w:val="20"/>
                <w:szCs w:val="20"/>
                <w:lang w:val="en-US"/>
              </w:rPr>
              <w:lastRenderedPageBreak/>
              <w:t xml:space="preserve">for more than </w:t>
            </w:r>
            <w:r w:rsidR="00F61772">
              <w:rPr>
                <w:sz w:val="20"/>
                <w:szCs w:val="20"/>
                <w:lang w:val="en-US"/>
              </w:rPr>
              <w:t>five (</w:t>
            </w:r>
            <w:r w:rsidRPr="004C4C68">
              <w:rPr>
                <w:sz w:val="20"/>
                <w:szCs w:val="20"/>
                <w:lang w:val="en-US"/>
              </w:rPr>
              <w:t>5</w:t>
            </w:r>
            <w:r w:rsidR="00F61772">
              <w:rPr>
                <w:sz w:val="20"/>
                <w:szCs w:val="20"/>
                <w:lang w:val="en-US"/>
              </w:rPr>
              <w:t>)</w:t>
            </w:r>
            <w:r w:rsidRPr="004C4C68">
              <w:rPr>
                <w:sz w:val="20"/>
                <w:szCs w:val="20"/>
                <w:lang w:val="en-US"/>
              </w:rPr>
              <w:t xml:space="preserve"> years then there is nothing to pay out.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C4C68" w:rsidRPr="004C4C68" w:rsidRDefault="004C4C68" w:rsidP="002D2642">
            <w:pPr>
              <w:jc w:val="center"/>
              <w:rPr>
                <w:sz w:val="20"/>
                <w:szCs w:val="20"/>
                <w:lang w:val="en-US"/>
              </w:rPr>
            </w:pPr>
            <w:r w:rsidRPr="005C2BA2">
              <w:rPr>
                <w:b/>
                <w:color w:val="00B050"/>
                <w:sz w:val="20"/>
                <w:szCs w:val="20"/>
                <w:lang w:val="en-US"/>
              </w:rPr>
              <w:lastRenderedPageBreak/>
              <w:t>Life with 10</w:t>
            </w:r>
            <w:r w:rsidR="00F61772" w:rsidRPr="005C2BA2">
              <w:rPr>
                <w:b/>
                <w:color w:val="00B050"/>
                <w:sz w:val="20"/>
                <w:szCs w:val="20"/>
                <w:lang w:val="en-US"/>
              </w:rPr>
              <w:t>-year Guarantee ((</w:t>
            </w:r>
            <w:proofErr w:type="gramStart"/>
            <w:r w:rsidR="00F61772" w:rsidRPr="005C2BA2">
              <w:rPr>
                <w:b/>
                <w:color w:val="00B050"/>
                <w:sz w:val="20"/>
                <w:szCs w:val="20"/>
                <w:lang w:val="en-US"/>
              </w:rPr>
              <w:t>LG(</w:t>
            </w:r>
            <w:proofErr w:type="gramEnd"/>
            <w:r w:rsidR="00F61772" w:rsidRPr="005C2BA2">
              <w:rPr>
                <w:b/>
                <w:color w:val="00B050"/>
                <w:sz w:val="20"/>
                <w:szCs w:val="20"/>
                <w:lang w:val="en-US"/>
              </w:rPr>
              <w:t>10))</w:t>
            </w:r>
            <w:r w:rsidR="00F61772" w:rsidRPr="005C2BA2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r w:rsidR="00F61772">
              <w:rPr>
                <w:sz w:val="20"/>
                <w:szCs w:val="20"/>
                <w:lang w:val="en-US"/>
              </w:rPr>
              <w:t>means that if a member</w:t>
            </w:r>
            <w:r w:rsidRPr="004C4C68">
              <w:rPr>
                <w:sz w:val="20"/>
                <w:szCs w:val="20"/>
                <w:lang w:val="en-US"/>
              </w:rPr>
              <w:t xml:space="preserve"> die</w:t>
            </w:r>
            <w:r w:rsidR="00F61772">
              <w:rPr>
                <w:sz w:val="20"/>
                <w:szCs w:val="20"/>
                <w:lang w:val="en-US"/>
              </w:rPr>
              <w:t>s</w:t>
            </w:r>
            <w:r w:rsidRPr="004C4C68">
              <w:rPr>
                <w:sz w:val="20"/>
                <w:szCs w:val="20"/>
                <w:lang w:val="en-US"/>
              </w:rPr>
              <w:t xml:space="preserve"> </w:t>
            </w:r>
            <w:r w:rsidR="00F61772">
              <w:rPr>
                <w:sz w:val="20"/>
                <w:szCs w:val="20"/>
                <w:lang w:val="en-US"/>
              </w:rPr>
              <w:t xml:space="preserve">within the first ten (10) </w:t>
            </w:r>
            <w:r w:rsidRPr="004C4C68">
              <w:rPr>
                <w:sz w:val="20"/>
                <w:szCs w:val="20"/>
                <w:lang w:val="en-US"/>
              </w:rPr>
              <w:t xml:space="preserve">as a pensioner </w:t>
            </w:r>
            <w:r w:rsidR="00F61772">
              <w:rPr>
                <w:sz w:val="20"/>
                <w:szCs w:val="20"/>
                <w:lang w:val="en-US"/>
              </w:rPr>
              <w:t xml:space="preserve">the </w:t>
            </w:r>
            <w:r w:rsidRPr="004C4C68">
              <w:rPr>
                <w:sz w:val="20"/>
                <w:szCs w:val="20"/>
                <w:lang w:val="en-US"/>
              </w:rPr>
              <w:t xml:space="preserve">beneficiaries or </w:t>
            </w:r>
            <w:r w:rsidRPr="004C4C68">
              <w:rPr>
                <w:sz w:val="20"/>
                <w:szCs w:val="20"/>
                <w:lang w:val="en-US"/>
              </w:rPr>
              <w:lastRenderedPageBreak/>
              <w:t xml:space="preserve">estate </w:t>
            </w:r>
            <w:r w:rsidR="00F61772">
              <w:rPr>
                <w:sz w:val="20"/>
                <w:szCs w:val="20"/>
                <w:lang w:val="en-US"/>
              </w:rPr>
              <w:t xml:space="preserve">would get the balance of the unpaid years </w:t>
            </w:r>
            <w:r w:rsidRPr="004C4C68">
              <w:rPr>
                <w:sz w:val="20"/>
                <w:szCs w:val="20"/>
                <w:lang w:val="en-US"/>
              </w:rPr>
              <w:t xml:space="preserve">as a lump sum payment.  </w:t>
            </w: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:rsidR="004C4C68" w:rsidRDefault="00F61772" w:rsidP="002D2642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lastRenderedPageBreak/>
              <w:t>Life with</w:t>
            </w:r>
            <w:r>
              <w:rPr>
                <w:sz w:val="20"/>
                <w:szCs w:val="20"/>
                <w:lang w:val="en-US"/>
              </w:rPr>
              <w:t xml:space="preserve"> 5-year Guarantee ((LG(5)) </w:t>
            </w:r>
          </w:p>
          <w:p w:rsidR="002D2642" w:rsidRPr="004C4C68" w:rsidRDefault="002D2642" w:rsidP="002D264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C4C68" w:rsidRPr="004C4C68" w:rsidTr="00951D37"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4C4C68" w:rsidRPr="004C4C68" w:rsidRDefault="00420331" w:rsidP="004C4C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82" w:type="dxa"/>
            <w:tcBorders>
              <w:right w:val="single" w:sz="12" w:space="0" w:color="auto"/>
            </w:tcBorders>
            <w:vAlign w:val="center"/>
          </w:tcPr>
          <w:p w:rsidR="004C4C68" w:rsidRPr="00942D33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942D33">
              <w:rPr>
                <w:sz w:val="20"/>
                <w:szCs w:val="20"/>
                <w:lang w:val="en-US"/>
              </w:rPr>
              <w:t>Early Unreduced Retirement (EUR)</w:t>
            </w:r>
          </w:p>
        </w:tc>
        <w:tc>
          <w:tcPr>
            <w:tcW w:w="28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75D0" w:rsidRDefault="000575D0" w:rsidP="004C4C6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575D0" w:rsidRDefault="000575D0" w:rsidP="004C4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Age 55 + Factor 85 (For CUPE, USW, and UGFSEA)</w:t>
            </w:r>
          </w:p>
          <w:p w:rsidR="000575D0" w:rsidRDefault="000575D0" w:rsidP="000575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Member must be minimum age of 55</w:t>
            </w:r>
            <w:r w:rsidRPr="004C4C68">
              <w:rPr>
                <w:sz w:val="20"/>
                <w:szCs w:val="20"/>
                <w:lang w:val="en-US"/>
              </w:rPr>
              <w:t xml:space="preserve"> with a combined age and years of credited service</w:t>
            </w:r>
            <w:r>
              <w:rPr>
                <w:sz w:val="20"/>
                <w:szCs w:val="20"/>
                <w:lang w:val="en-US"/>
              </w:rPr>
              <w:t xml:space="preserve"> factor of 85</w:t>
            </w:r>
            <w:r w:rsidRPr="004C4C68">
              <w:rPr>
                <w:sz w:val="20"/>
                <w:szCs w:val="20"/>
                <w:lang w:val="en-US"/>
              </w:rPr>
              <w:t xml:space="preserve"> to be eligible to take an EUR. </w:t>
            </w:r>
          </w:p>
          <w:p w:rsidR="005D3F9D" w:rsidRDefault="005D3F9D" w:rsidP="005D3F9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3F9D" w:rsidRPr="004C4C68" w:rsidRDefault="005D3F9D" w:rsidP="005D3F9D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Age 60 + Factor 90</w:t>
            </w:r>
            <w:r>
              <w:rPr>
                <w:sz w:val="20"/>
                <w:szCs w:val="20"/>
                <w:lang w:val="en-US"/>
              </w:rPr>
              <w:t xml:space="preserve"> (For OSSTF, OPSEU, Unifor, &amp; Exempt Group)</w:t>
            </w:r>
          </w:p>
          <w:p w:rsidR="005D3F9D" w:rsidRDefault="005D3F9D" w:rsidP="005D3F9D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 xml:space="preserve">Member must be minimum age of 60 with a combined age and years of credited service factor of 90 to be eligible to take an EUR. </w:t>
            </w:r>
          </w:p>
          <w:p w:rsidR="004C4C68" w:rsidRPr="004C4C68" w:rsidRDefault="004C4C68" w:rsidP="000575D0">
            <w:pPr>
              <w:rPr>
                <w:sz w:val="20"/>
                <w:szCs w:val="20"/>
                <w:lang w:val="en-US"/>
              </w:rPr>
            </w:pPr>
          </w:p>
          <w:p w:rsidR="004F032C" w:rsidRDefault="004C4C68" w:rsidP="004F032C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 xml:space="preserve">If both targets are not </w:t>
            </w:r>
            <w:r w:rsidR="004F032C" w:rsidRPr="004C4C68">
              <w:rPr>
                <w:sz w:val="20"/>
                <w:szCs w:val="20"/>
                <w:lang w:val="en-US"/>
              </w:rPr>
              <w:t>met,</w:t>
            </w:r>
            <w:r w:rsidRPr="004C4C68">
              <w:rPr>
                <w:sz w:val="20"/>
                <w:szCs w:val="20"/>
                <w:lang w:val="en-US"/>
              </w:rPr>
              <w:t xml:space="preserve"> then pension would be reduced by 0.25 % for each month</w:t>
            </w:r>
            <w:r w:rsidR="004F032C">
              <w:rPr>
                <w:sz w:val="20"/>
                <w:szCs w:val="20"/>
                <w:lang w:val="en-US"/>
              </w:rPr>
              <w:t xml:space="preserve"> (3 % per year)</w:t>
            </w:r>
            <w:r w:rsidRPr="004C4C68">
              <w:rPr>
                <w:sz w:val="20"/>
                <w:szCs w:val="20"/>
                <w:lang w:val="en-US"/>
              </w:rPr>
              <w:t xml:space="preserve"> by which the member’s Early Retirement Date precedes the earliest of the Normal Retirement Age (NRA) of 65 and the later of </w:t>
            </w:r>
            <w:r w:rsidR="004F032C">
              <w:rPr>
                <w:sz w:val="20"/>
                <w:szCs w:val="20"/>
                <w:lang w:val="en-US"/>
              </w:rPr>
              <w:t>when the member would have become eligible for an EUR.</w:t>
            </w:r>
          </w:p>
          <w:p w:rsidR="004F032C" w:rsidRDefault="004F032C" w:rsidP="004F03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F032C" w:rsidRPr="004C4C68" w:rsidRDefault="004F032C" w:rsidP="004F03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Most members would have reduction applied not from Age 65 but when they would have reached the EUR.</w:t>
            </w:r>
          </w:p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C4C68" w:rsidRPr="004C4C68" w:rsidRDefault="00307CFE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307CFE">
              <w:rPr>
                <w:b/>
                <w:color w:val="FF0000"/>
                <w:sz w:val="20"/>
                <w:szCs w:val="20"/>
                <w:lang w:val="en-US"/>
              </w:rPr>
              <w:t xml:space="preserve">Minimum </w:t>
            </w:r>
            <w:r w:rsidR="004C4C68" w:rsidRPr="00307CFE">
              <w:rPr>
                <w:b/>
                <w:color w:val="FF0000"/>
                <w:sz w:val="20"/>
                <w:szCs w:val="20"/>
                <w:lang w:val="en-US"/>
              </w:rPr>
              <w:t>Age 62</w:t>
            </w:r>
            <w:r w:rsidR="004C4C68" w:rsidRPr="00307CFE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4C4C68" w:rsidRPr="004C4C68">
              <w:rPr>
                <w:sz w:val="20"/>
                <w:szCs w:val="20"/>
                <w:lang w:val="en-US"/>
              </w:rPr>
              <w:t xml:space="preserve">+ </w:t>
            </w:r>
            <w:r w:rsidR="004C4C68" w:rsidRPr="00307CFE">
              <w:rPr>
                <w:b/>
                <w:color w:val="00B050"/>
                <w:sz w:val="20"/>
                <w:szCs w:val="20"/>
                <w:lang w:val="en-US"/>
              </w:rPr>
              <w:t>Factor 80</w:t>
            </w:r>
          </w:p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Member must be minimum age of 62 with a com</w:t>
            </w:r>
            <w:r w:rsidR="00E22B87">
              <w:rPr>
                <w:sz w:val="20"/>
                <w:szCs w:val="20"/>
                <w:lang w:val="en-US"/>
              </w:rPr>
              <w:t>bined age and years of service F</w:t>
            </w:r>
            <w:r w:rsidRPr="004C4C68">
              <w:rPr>
                <w:sz w:val="20"/>
                <w:szCs w:val="20"/>
                <w:lang w:val="en-US"/>
              </w:rPr>
              <w:t xml:space="preserve">actor of 80 to be eligible to take an EUR. </w:t>
            </w:r>
          </w:p>
          <w:p w:rsidR="004C4C68" w:rsidRPr="004C4C68" w:rsidRDefault="004C4C68" w:rsidP="004C4C6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0331" w:rsidRPr="00307CFE" w:rsidRDefault="004C4C68" w:rsidP="004C4C68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If both targets are not met</w:t>
            </w:r>
            <w:r w:rsidR="00307CFE">
              <w:rPr>
                <w:sz w:val="20"/>
                <w:szCs w:val="20"/>
                <w:lang w:val="en-US"/>
              </w:rPr>
              <w:t>,</w:t>
            </w:r>
            <w:r w:rsidRPr="004C4C68">
              <w:rPr>
                <w:sz w:val="20"/>
                <w:szCs w:val="20"/>
                <w:lang w:val="en-US"/>
              </w:rPr>
              <w:t xml:space="preserve"> then pension is </w:t>
            </w:r>
            <w:r w:rsidRPr="00307CFE">
              <w:rPr>
                <w:b/>
                <w:color w:val="FF0000"/>
                <w:sz w:val="20"/>
                <w:szCs w:val="20"/>
                <w:lang w:val="en-US"/>
              </w:rPr>
              <w:t xml:space="preserve">reduced from Age 65 </w:t>
            </w:r>
            <w:r w:rsidRPr="00307CFE">
              <w:rPr>
                <w:sz w:val="20"/>
                <w:szCs w:val="20"/>
                <w:lang w:val="en-US"/>
              </w:rPr>
              <w:t>by</w:t>
            </w:r>
            <w:r w:rsidRPr="00307CFE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="004F032C" w:rsidRPr="00307CFE">
              <w:rPr>
                <w:b/>
                <w:color w:val="FF0000"/>
                <w:sz w:val="20"/>
                <w:szCs w:val="20"/>
                <w:lang w:val="en-US"/>
              </w:rPr>
              <w:t xml:space="preserve">0.416 % per month or </w:t>
            </w:r>
            <w:r w:rsidRPr="00307CFE">
              <w:rPr>
                <w:b/>
                <w:color w:val="FF0000"/>
                <w:sz w:val="20"/>
                <w:szCs w:val="20"/>
                <w:lang w:val="en-US"/>
              </w:rPr>
              <w:t>5 % per year.</w:t>
            </w:r>
            <w:r w:rsidR="00420331" w:rsidRPr="00307CFE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420331" w:rsidRDefault="00420331" w:rsidP="004C4C6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C4C68" w:rsidRPr="004C4C68" w:rsidRDefault="00420331" w:rsidP="004C4C6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Proposed grand-parenting would allow those members who are three (3) or fewer years away from reaching their Early Unreduced Retirement when they join a new JSPP to count those years under their current plan provisions for reductions</w:t>
            </w:r>
            <w:r w:rsidR="00942D33">
              <w:rPr>
                <w:sz w:val="20"/>
                <w:szCs w:val="20"/>
                <w:lang w:val="en-US"/>
              </w:rPr>
              <w:t xml:space="preserve"> to be applied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16" w:type="dxa"/>
            <w:tcBorders>
              <w:left w:val="single" w:sz="12" w:space="0" w:color="auto"/>
            </w:tcBorders>
            <w:vAlign w:val="center"/>
          </w:tcPr>
          <w:p w:rsidR="004C4C68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 Age 55 + 85 Factor (ONA)</w:t>
            </w:r>
          </w:p>
          <w:p w:rsidR="00821796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1796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 Age 60 + 85 Factor (Professional &amp; Management Employees)</w:t>
            </w:r>
          </w:p>
          <w:p w:rsidR="00821796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1796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 Age 60 + 90 Factor (CARG)</w:t>
            </w:r>
          </w:p>
          <w:p w:rsidR="00821796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1796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Minimum Age 62 + 87 Factor (UGFA)</w:t>
            </w:r>
          </w:p>
          <w:p w:rsidR="00821796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1796" w:rsidRDefault="00821796" w:rsidP="00821796">
            <w:pPr>
              <w:jc w:val="center"/>
              <w:rPr>
                <w:sz w:val="20"/>
                <w:szCs w:val="20"/>
                <w:lang w:val="en-US"/>
              </w:rPr>
            </w:pPr>
            <w:r w:rsidRPr="004C4C68">
              <w:rPr>
                <w:sz w:val="20"/>
                <w:szCs w:val="20"/>
                <w:lang w:val="en-US"/>
              </w:rPr>
              <w:t>If both targets are not met, then pension would be reduced by 0.25 % for each month</w:t>
            </w:r>
            <w:r>
              <w:rPr>
                <w:sz w:val="20"/>
                <w:szCs w:val="20"/>
                <w:lang w:val="en-US"/>
              </w:rPr>
              <w:t xml:space="preserve"> (3 % per year)</w:t>
            </w:r>
            <w:r w:rsidRPr="004C4C68">
              <w:rPr>
                <w:sz w:val="20"/>
                <w:szCs w:val="20"/>
                <w:lang w:val="en-US"/>
              </w:rPr>
              <w:t xml:space="preserve"> by which the member’s Early Retirement Date precedes the earliest of the Normal Retirement Age (NRA) of 65 and the later of </w:t>
            </w:r>
            <w:r>
              <w:rPr>
                <w:sz w:val="20"/>
                <w:szCs w:val="20"/>
                <w:lang w:val="en-US"/>
              </w:rPr>
              <w:t>when the member would have become eligible for an EUR.</w:t>
            </w:r>
          </w:p>
          <w:p w:rsidR="00821796" w:rsidRPr="004C4C68" w:rsidRDefault="00821796" w:rsidP="00DB5F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C4C68" w:rsidRPr="004C4C68" w:rsidRDefault="004C4C68"/>
    <w:sectPr w:rsidR="004C4C68" w:rsidRPr="004C4C68" w:rsidSect="00B75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68"/>
    <w:rsid w:val="00001861"/>
    <w:rsid w:val="00002979"/>
    <w:rsid w:val="00003B59"/>
    <w:rsid w:val="0000425C"/>
    <w:rsid w:val="00005736"/>
    <w:rsid w:val="00005F3E"/>
    <w:rsid w:val="000070F1"/>
    <w:rsid w:val="00007ADA"/>
    <w:rsid w:val="00010F7C"/>
    <w:rsid w:val="00011FC4"/>
    <w:rsid w:val="00015692"/>
    <w:rsid w:val="000158C6"/>
    <w:rsid w:val="00016FA1"/>
    <w:rsid w:val="00020303"/>
    <w:rsid w:val="00020F6A"/>
    <w:rsid w:val="0002113B"/>
    <w:rsid w:val="000218BF"/>
    <w:rsid w:val="0002241E"/>
    <w:rsid w:val="000248C2"/>
    <w:rsid w:val="00025503"/>
    <w:rsid w:val="00026BB7"/>
    <w:rsid w:val="00026F2F"/>
    <w:rsid w:val="00027981"/>
    <w:rsid w:val="00027CAA"/>
    <w:rsid w:val="000322A4"/>
    <w:rsid w:val="00032DDD"/>
    <w:rsid w:val="00032F6B"/>
    <w:rsid w:val="00033ED0"/>
    <w:rsid w:val="000346D5"/>
    <w:rsid w:val="000409F1"/>
    <w:rsid w:val="0004155D"/>
    <w:rsid w:val="0004238F"/>
    <w:rsid w:val="00042FA5"/>
    <w:rsid w:val="00044E54"/>
    <w:rsid w:val="00044F79"/>
    <w:rsid w:val="00046265"/>
    <w:rsid w:val="000467BA"/>
    <w:rsid w:val="000508C4"/>
    <w:rsid w:val="00050971"/>
    <w:rsid w:val="0005109A"/>
    <w:rsid w:val="000511FD"/>
    <w:rsid w:val="00051CA6"/>
    <w:rsid w:val="000546BD"/>
    <w:rsid w:val="00054777"/>
    <w:rsid w:val="000552AB"/>
    <w:rsid w:val="000568FA"/>
    <w:rsid w:val="00056D5E"/>
    <w:rsid w:val="000575D0"/>
    <w:rsid w:val="00057A89"/>
    <w:rsid w:val="00057F2F"/>
    <w:rsid w:val="0006052D"/>
    <w:rsid w:val="00060579"/>
    <w:rsid w:val="00060E61"/>
    <w:rsid w:val="00061112"/>
    <w:rsid w:val="00061BA7"/>
    <w:rsid w:val="000630FC"/>
    <w:rsid w:val="00063A09"/>
    <w:rsid w:val="00067106"/>
    <w:rsid w:val="00071020"/>
    <w:rsid w:val="00071157"/>
    <w:rsid w:val="00071241"/>
    <w:rsid w:val="00071326"/>
    <w:rsid w:val="00072C20"/>
    <w:rsid w:val="00073A01"/>
    <w:rsid w:val="00075A8C"/>
    <w:rsid w:val="00076A1C"/>
    <w:rsid w:val="00080A45"/>
    <w:rsid w:val="00082858"/>
    <w:rsid w:val="0008296A"/>
    <w:rsid w:val="00084530"/>
    <w:rsid w:val="000847FD"/>
    <w:rsid w:val="00090A1D"/>
    <w:rsid w:val="00090EB2"/>
    <w:rsid w:val="0009198B"/>
    <w:rsid w:val="000921F3"/>
    <w:rsid w:val="0009293F"/>
    <w:rsid w:val="00093CFE"/>
    <w:rsid w:val="00095E83"/>
    <w:rsid w:val="00096542"/>
    <w:rsid w:val="00096BF4"/>
    <w:rsid w:val="00097240"/>
    <w:rsid w:val="00097ABB"/>
    <w:rsid w:val="000A227F"/>
    <w:rsid w:val="000A41CC"/>
    <w:rsid w:val="000A4BEF"/>
    <w:rsid w:val="000A5752"/>
    <w:rsid w:val="000A7298"/>
    <w:rsid w:val="000A7355"/>
    <w:rsid w:val="000B03BD"/>
    <w:rsid w:val="000B0E2D"/>
    <w:rsid w:val="000B1425"/>
    <w:rsid w:val="000B17C7"/>
    <w:rsid w:val="000B2E63"/>
    <w:rsid w:val="000B74D2"/>
    <w:rsid w:val="000B7D6B"/>
    <w:rsid w:val="000C0CE9"/>
    <w:rsid w:val="000C6965"/>
    <w:rsid w:val="000C6B0B"/>
    <w:rsid w:val="000C742F"/>
    <w:rsid w:val="000C7660"/>
    <w:rsid w:val="000C7D8D"/>
    <w:rsid w:val="000D1004"/>
    <w:rsid w:val="000D2533"/>
    <w:rsid w:val="000D321B"/>
    <w:rsid w:val="000D4855"/>
    <w:rsid w:val="000D525D"/>
    <w:rsid w:val="000D7672"/>
    <w:rsid w:val="000E06D9"/>
    <w:rsid w:val="000E572A"/>
    <w:rsid w:val="000E7B8E"/>
    <w:rsid w:val="000E7F38"/>
    <w:rsid w:val="000F0746"/>
    <w:rsid w:val="000F2415"/>
    <w:rsid w:val="000F37C8"/>
    <w:rsid w:val="000F4174"/>
    <w:rsid w:val="000F6581"/>
    <w:rsid w:val="000F7462"/>
    <w:rsid w:val="001008BB"/>
    <w:rsid w:val="0010091A"/>
    <w:rsid w:val="00100DA9"/>
    <w:rsid w:val="00100EBB"/>
    <w:rsid w:val="0010136F"/>
    <w:rsid w:val="00101854"/>
    <w:rsid w:val="00102820"/>
    <w:rsid w:val="00105A4E"/>
    <w:rsid w:val="001064C9"/>
    <w:rsid w:val="00106689"/>
    <w:rsid w:val="00110757"/>
    <w:rsid w:val="00110927"/>
    <w:rsid w:val="0011218C"/>
    <w:rsid w:val="00112A79"/>
    <w:rsid w:val="00112D29"/>
    <w:rsid w:val="00113453"/>
    <w:rsid w:val="00113885"/>
    <w:rsid w:val="00114260"/>
    <w:rsid w:val="001159D7"/>
    <w:rsid w:val="00115C0F"/>
    <w:rsid w:val="00116C52"/>
    <w:rsid w:val="001204D9"/>
    <w:rsid w:val="00120559"/>
    <w:rsid w:val="00121235"/>
    <w:rsid w:val="0012234A"/>
    <w:rsid w:val="00124166"/>
    <w:rsid w:val="0012462B"/>
    <w:rsid w:val="00125D85"/>
    <w:rsid w:val="001276D8"/>
    <w:rsid w:val="001278C9"/>
    <w:rsid w:val="001303BC"/>
    <w:rsid w:val="00132064"/>
    <w:rsid w:val="00135003"/>
    <w:rsid w:val="00135157"/>
    <w:rsid w:val="001357F3"/>
    <w:rsid w:val="001358CE"/>
    <w:rsid w:val="00136594"/>
    <w:rsid w:val="001400DA"/>
    <w:rsid w:val="00140818"/>
    <w:rsid w:val="001414D5"/>
    <w:rsid w:val="00142592"/>
    <w:rsid w:val="0014582B"/>
    <w:rsid w:val="00145EC3"/>
    <w:rsid w:val="00147128"/>
    <w:rsid w:val="00150CA6"/>
    <w:rsid w:val="00150D14"/>
    <w:rsid w:val="00152D4E"/>
    <w:rsid w:val="00154C8D"/>
    <w:rsid w:val="0015518D"/>
    <w:rsid w:val="00155AA5"/>
    <w:rsid w:val="001569BD"/>
    <w:rsid w:val="00161638"/>
    <w:rsid w:val="00161DA0"/>
    <w:rsid w:val="00162C8D"/>
    <w:rsid w:val="00163113"/>
    <w:rsid w:val="0016332F"/>
    <w:rsid w:val="00164304"/>
    <w:rsid w:val="0017011E"/>
    <w:rsid w:val="00170171"/>
    <w:rsid w:val="001711A3"/>
    <w:rsid w:val="00171893"/>
    <w:rsid w:val="00172F35"/>
    <w:rsid w:val="00174FDD"/>
    <w:rsid w:val="00177116"/>
    <w:rsid w:val="001800F3"/>
    <w:rsid w:val="00180D7B"/>
    <w:rsid w:val="00182DC1"/>
    <w:rsid w:val="00183BDA"/>
    <w:rsid w:val="00190976"/>
    <w:rsid w:val="00190E07"/>
    <w:rsid w:val="00192B43"/>
    <w:rsid w:val="00193180"/>
    <w:rsid w:val="0019494D"/>
    <w:rsid w:val="001A0A98"/>
    <w:rsid w:val="001A2B89"/>
    <w:rsid w:val="001A3672"/>
    <w:rsid w:val="001A45F8"/>
    <w:rsid w:val="001A5162"/>
    <w:rsid w:val="001A72C6"/>
    <w:rsid w:val="001B206E"/>
    <w:rsid w:val="001B368E"/>
    <w:rsid w:val="001B511B"/>
    <w:rsid w:val="001B5CB4"/>
    <w:rsid w:val="001B5E88"/>
    <w:rsid w:val="001B78C5"/>
    <w:rsid w:val="001C2C89"/>
    <w:rsid w:val="001C2D7B"/>
    <w:rsid w:val="001C43B3"/>
    <w:rsid w:val="001C5953"/>
    <w:rsid w:val="001D02AF"/>
    <w:rsid w:val="001D30D7"/>
    <w:rsid w:val="001D48C5"/>
    <w:rsid w:val="001D5746"/>
    <w:rsid w:val="001D7A28"/>
    <w:rsid w:val="001D7CB9"/>
    <w:rsid w:val="001E1DEA"/>
    <w:rsid w:val="001E3569"/>
    <w:rsid w:val="001E3C3F"/>
    <w:rsid w:val="001E3CC4"/>
    <w:rsid w:val="001E468D"/>
    <w:rsid w:val="001E4D64"/>
    <w:rsid w:val="001E730F"/>
    <w:rsid w:val="001E796B"/>
    <w:rsid w:val="001F0051"/>
    <w:rsid w:val="001F0063"/>
    <w:rsid w:val="001F1A51"/>
    <w:rsid w:val="001F339B"/>
    <w:rsid w:val="001F35A8"/>
    <w:rsid w:val="001F4CDC"/>
    <w:rsid w:val="001F51AF"/>
    <w:rsid w:val="001F55B9"/>
    <w:rsid w:val="001F6890"/>
    <w:rsid w:val="001F6EBC"/>
    <w:rsid w:val="001F7B76"/>
    <w:rsid w:val="00203728"/>
    <w:rsid w:val="00203831"/>
    <w:rsid w:val="00203A44"/>
    <w:rsid w:val="00203BCC"/>
    <w:rsid w:val="002041BA"/>
    <w:rsid w:val="002051C5"/>
    <w:rsid w:val="00206842"/>
    <w:rsid w:val="0021090F"/>
    <w:rsid w:val="00210DD6"/>
    <w:rsid w:val="0021122E"/>
    <w:rsid w:val="00212ACE"/>
    <w:rsid w:val="0021316B"/>
    <w:rsid w:val="00215735"/>
    <w:rsid w:val="0021582F"/>
    <w:rsid w:val="0021791F"/>
    <w:rsid w:val="002226DD"/>
    <w:rsid w:val="00222F58"/>
    <w:rsid w:val="0022406D"/>
    <w:rsid w:val="00224B2F"/>
    <w:rsid w:val="0022588D"/>
    <w:rsid w:val="00226A0C"/>
    <w:rsid w:val="00226ED1"/>
    <w:rsid w:val="00226FCB"/>
    <w:rsid w:val="00227CBD"/>
    <w:rsid w:val="00231931"/>
    <w:rsid w:val="00231A69"/>
    <w:rsid w:val="002329B8"/>
    <w:rsid w:val="0023366E"/>
    <w:rsid w:val="00240007"/>
    <w:rsid w:val="00241E70"/>
    <w:rsid w:val="00243057"/>
    <w:rsid w:val="002437FD"/>
    <w:rsid w:val="00243B13"/>
    <w:rsid w:val="00243EED"/>
    <w:rsid w:val="00244985"/>
    <w:rsid w:val="00246EE7"/>
    <w:rsid w:val="00247487"/>
    <w:rsid w:val="002474C6"/>
    <w:rsid w:val="00247913"/>
    <w:rsid w:val="002512CC"/>
    <w:rsid w:val="00252A2C"/>
    <w:rsid w:val="002536A4"/>
    <w:rsid w:val="00256B94"/>
    <w:rsid w:val="0026188C"/>
    <w:rsid w:val="002626E4"/>
    <w:rsid w:val="0026314A"/>
    <w:rsid w:val="002637B9"/>
    <w:rsid w:val="00263CEC"/>
    <w:rsid w:val="00264198"/>
    <w:rsid w:val="002644D9"/>
    <w:rsid w:val="00265214"/>
    <w:rsid w:val="002668D7"/>
    <w:rsid w:val="00270120"/>
    <w:rsid w:val="00273417"/>
    <w:rsid w:val="0027350D"/>
    <w:rsid w:val="00273560"/>
    <w:rsid w:val="00276BA3"/>
    <w:rsid w:val="00277121"/>
    <w:rsid w:val="0027770C"/>
    <w:rsid w:val="00277A07"/>
    <w:rsid w:val="00277E50"/>
    <w:rsid w:val="0028138D"/>
    <w:rsid w:val="00281F7A"/>
    <w:rsid w:val="002861BA"/>
    <w:rsid w:val="00286FB0"/>
    <w:rsid w:val="002877FB"/>
    <w:rsid w:val="0028799F"/>
    <w:rsid w:val="002935FD"/>
    <w:rsid w:val="00294BDF"/>
    <w:rsid w:val="002956D1"/>
    <w:rsid w:val="002960C2"/>
    <w:rsid w:val="00296107"/>
    <w:rsid w:val="002972D3"/>
    <w:rsid w:val="00297B28"/>
    <w:rsid w:val="002A2C82"/>
    <w:rsid w:val="002A3612"/>
    <w:rsid w:val="002A4F3D"/>
    <w:rsid w:val="002A552D"/>
    <w:rsid w:val="002A6F72"/>
    <w:rsid w:val="002B23D8"/>
    <w:rsid w:val="002B47F3"/>
    <w:rsid w:val="002B5E5F"/>
    <w:rsid w:val="002B6FA3"/>
    <w:rsid w:val="002C449C"/>
    <w:rsid w:val="002C4D45"/>
    <w:rsid w:val="002C55F2"/>
    <w:rsid w:val="002C744D"/>
    <w:rsid w:val="002D2642"/>
    <w:rsid w:val="002D2B2A"/>
    <w:rsid w:val="002D2DF9"/>
    <w:rsid w:val="002D5A0D"/>
    <w:rsid w:val="002D71AB"/>
    <w:rsid w:val="002D746D"/>
    <w:rsid w:val="002E11E9"/>
    <w:rsid w:val="002E14D2"/>
    <w:rsid w:val="002E3BFC"/>
    <w:rsid w:val="002E4079"/>
    <w:rsid w:val="002E562C"/>
    <w:rsid w:val="002E579D"/>
    <w:rsid w:val="002F2FB4"/>
    <w:rsid w:val="002F49E6"/>
    <w:rsid w:val="002F643C"/>
    <w:rsid w:val="002F643D"/>
    <w:rsid w:val="00302C4A"/>
    <w:rsid w:val="00303602"/>
    <w:rsid w:val="00304130"/>
    <w:rsid w:val="00304930"/>
    <w:rsid w:val="00306316"/>
    <w:rsid w:val="00307CFE"/>
    <w:rsid w:val="003104B1"/>
    <w:rsid w:val="00310935"/>
    <w:rsid w:val="0031126D"/>
    <w:rsid w:val="0031154B"/>
    <w:rsid w:val="0031313A"/>
    <w:rsid w:val="00314185"/>
    <w:rsid w:val="0031463F"/>
    <w:rsid w:val="003152AF"/>
    <w:rsid w:val="00315530"/>
    <w:rsid w:val="0031567B"/>
    <w:rsid w:val="00316610"/>
    <w:rsid w:val="003173D3"/>
    <w:rsid w:val="00317B88"/>
    <w:rsid w:val="00317F95"/>
    <w:rsid w:val="00322129"/>
    <w:rsid w:val="00322E89"/>
    <w:rsid w:val="00323274"/>
    <w:rsid w:val="00324BBB"/>
    <w:rsid w:val="00324C4A"/>
    <w:rsid w:val="003254A1"/>
    <w:rsid w:val="00330A0A"/>
    <w:rsid w:val="00330DAA"/>
    <w:rsid w:val="00330F9A"/>
    <w:rsid w:val="0033107D"/>
    <w:rsid w:val="00332DC0"/>
    <w:rsid w:val="00335306"/>
    <w:rsid w:val="00335F38"/>
    <w:rsid w:val="0033606D"/>
    <w:rsid w:val="003360B6"/>
    <w:rsid w:val="00341458"/>
    <w:rsid w:val="00342FB1"/>
    <w:rsid w:val="00343C4C"/>
    <w:rsid w:val="00344B0E"/>
    <w:rsid w:val="00344CAD"/>
    <w:rsid w:val="00351439"/>
    <w:rsid w:val="003514AA"/>
    <w:rsid w:val="003514AC"/>
    <w:rsid w:val="003542CC"/>
    <w:rsid w:val="00356021"/>
    <w:rsid w:val="00356656"/>
    <w:rsid w:val="00356F89"/>
    <w:rsid w:val="00360C91"/>
    <w:rsid w:val="0036272B"/>
    <w:rsid w:val="0036444B"/>
    <w:rsid w:val="003661DE"/>
    <w:rsid w:val="0036715A"/>
    <w:rsid w:val="003706B5"/>
    <w:rsid w:val="00370843"/>
    <w:rsid w:val="00370DBB"/>
    <w:rsid w:val="0037196E"/>
    <w:rsid w:val="003720BD"/>
    <w:rsid w:val="0037271D"/>
    <w:rsid w:val="0037556F"/>
    <w:rsid w:val="0037754C"/>
    <w:rsid w:val="003777EF"/>
    <w:rsid w:val="00381419"/>
    <w:rsid w:val="0038767B"/>
    <w:rsid w:val="003878BF"/>
    <w:rsid w:val="00387BA0"/>
    <w:rsid w:val="0039020D"/>
    <w:rsid w:val="0039032A"/>
    <w:rsid w:val="0039045E"/>
    <w:rsid w:val="00391FF9"/>
    <w:rsid w:val="00393C14"/>
    <w:rsid w:val="00395317"/>
    <w:rsid w:val="00396CBE"/>
    <w:rsid w:val="003A0ECB"/>
    <w:rsid w:val="003A1859"/>
    <w:rsid w:val="003A42F3"/>
    <w:rsid w:val="003A57AB"/>
    <w:rsid w:val="003A5E6B"/>
    <w:rsid w:val="003A5FF7"/>
    <w:rsid w:val="003A67F6"/>
    <w:rsid w:val="003B157B"/>
    <w:rsid w:val="003B1BD4"/>
    <w:rsid w:val="003B2B03"/>
    <w:rsid w:val="003B3648"/>
    <w:rsid w:val="003B6AB4"/>
    <w:rsid w:val="003B71E3"/>
    <w:rsid w:val="003B78D5"/>
    <w:rsid w:val="003C0140"/>
    <w:rsid w:val="003C1238"/>
    <w:rsid w:val="003C1C5F"/>
    <w:rsid w:val="003C1E79"/>
    <w:rsid w:val="003C2857"/>
    <w:rsid w:val="003C3398"/>
    <w:rsid w:val="003C38A6"/>
    <w:rsid w:val="003C5272"/>
    <w:rsid w:val="003C5810"/>
    <w:rsid w:val="003C6A7D"/>
    <w:rsid w:val="003C7562"/>
    <w:rsid w:val="003C77E2"/>
    <w:rsid w:val="003D1407"/>
    <w:rsid w:val="003D3A97"/>
    <w:rsid w:val="003D487A"/>
    <w:rsid w:val="003D4DA2"/>
    <w:rsid w:val="003D574B"/>
    <w:rsid w:val="003E0C60"/>
    <w:rsid w:val="003E2904"/>
    <w:rsid w:val="003E2A96"/>
    <w:rsid w:val="003E39E7"/>
    <w:rsid w:val="003E493B"/>
    <w:rsid w:val="003E4FC5"/>
    <w:rsid w:val="003E6001"/>
    <w:rsid w:val="003E6109"/>
    <w:rsid w:val="003E6FD0"/>
    <w:rsid w:val="003F067A"/>
    <w:rsid w:val="003F1B95"/>
    <w:rsid w:val="003F20FD"/>
    <w:rsid w:val="003F2629"/>
    <w:rsid w:val="003F3071"/>
    <w:rsid w:val="003F3F3F"/>
    <w:rsid w:val="003F49BC"/>
    <w:rsid w:val="003F4C46"/>
    <w:rsid w:val="003F4E6E"/>
    <w:rsid w:val="003F5AA2"/>
    <w:rsid w:val="00401221"/>
    <w:rsid w:val="00403087"/>
    <w:rsid w:val="00403902"/>
    <w:rsid w:val="00404268"/>
    <w:rsid w:val="004070D5"/>
    <w:rsid w:val="0040721A"/>
    <w:rsid w:val="0041244E"/>
    <w:rsid w:val="00412A73"/>
    <w:rsid w:val="00412CA9"/>
    <w:rsid w:val="004131D5"/>
    <w:rsid w:val="00414215"/>
    <w:rsid w:val="0041464B"/>
    <w:rsid w:val="0041576F"/>
    <w:rsid w:val="004162A0"/>
    <w:rsid w:val="00420331"/>
    <w:rsid w:val="004213F6"/>
    <w:rsid w:val="0042162E"/>
    <w:rsid w:val="0042230A"/>
    <w:rsid w:val="004235C3"/>
    <w:rsid w:val="004250E0"/>
    <w:rsid w:val="00426178"/>
    <w:rsid w:val="0042771B"/>
    <w:rsid w:val="0043153F"/>
    <w:rsid w:val="00431D60"/>
    <w:rsid w:val="004327A1"/>
    <w:rsid w:val="00432DB5"/>
    <w:rsid w:val="00434EFE"/>
    <w:rsid w:val="00435B2E"/>
    <w:rsid w:val="004371F8"/>
    <w:rsid w:val="0044021B"/>
    <w:rsid w:val="00440A19"/>
    <w:rsid w:val="00441751"/>
    <w:rsid w:val="004419F0"/>
    <w:rsid w:val="0044526E"/>
    <w:rsid w:val="00446394"/>
    <w:rsid w:val="00446874"/>
    <w:rsid w:val="00446F7D"/>
    <w:rsid w:val="00447B8A"/>
    <w:rsid w:val="004513D5"/>
    <w:rsid w:val="00451B6D"/>
    <w:rsid w:val="00451C60"/>
    <w:rsid w:val="00451DDB"/>
    <w:rsid w:val="00452AE9"/>
    <w:rsid w:val="004538B5"/>
    <w:rsid w:val="00453E3D"/>
    <w:rsid w:val="00456692"/>
    <w:rsid w:val="00457FED"/>
    <w:rsid w:val="004605B5"/>
    <w:rsid w:val="00461A6B"/>
    <w:rsid w:val="00461AC4"/>
    <w:rsid w:val="00462CF6"/>
    <w:rsid w:val="004703AF"/>
    <w:rsid w:val="0047132E"/>
    <w:rsid w:val="00471C9C"/>
    <w:rsid w:val="0047224B"/>
    <w:rsid w:val="00473381"/>
    <w:rsid w:val="0047501E"/>
    <w:rsid w:val="004778F4"/>
    <w:rsid w:val="00480700"/>
    <w:rsid w:val="00480CCA"/>
    <w:rsid w:val="004814FD"/>
    <w:rsid w:val="00482F00"/>
    <w:rsid w:val="004837E2"/>
    <w:rsid w:val="00483D91"/>
    <w:rsid w:val="00483F1E"/>
    <w:rsid w:val="00486599"/>
    <w:rsid w:val="004865CD"/>
    <w:rsid w:val="0048680E"/>
    <w:rsid w:val="00491650"/>
    <w:rsid w:val="00492B20"/>
    <w:rsid w:val="00492F8B"/>
    <w:rsid w:val="00493E25"/>
    <w:rsid w:val="00494869"/>
    <w:rsid w:val="00495EF2"/>
    <w:rsid w:val="0049651B"/>
    <w:rsid w:val="004966DC"/>
    <w:rsid w:val="004974A6"/>
    <w:rsid w:val="004A360E"/>
    <w:rsid w:val="004A367C"/>
    <w:rsid w:val="004A3C54"/>
    <w:rsid w:val="004A419E"/>
    <w:rsid w:val="004B0EEB"/>
    <w:rsid w:val="004B1572"/>
    <w:rsid w:val="004B35C7"/>
    <w:rsid w:val="004B3B6D"/>
    <w:rsid w:val="004B4604"/>
    <w:rsid w:val="004B552B"/>
    <w:rsid w:val="004C00B1"/>
    <w:rsid w:val="004C19D8"/>
    <w:rsid w:val="004C2616"/>
    <w:rsid w:val="004C29E2"/>
    <w:rsid w:val="004C4C68"/>
    <w:rsid w:val="004C62BD"/>
    <w:rsid w:val="004D2840"/>
    <w:rsid w:val="004D2A6E"/>
    <w:rsid w:val="004D417B"/>
    <w:rsid w:val="004D4ED6"/>
    <w:rsid w:val="004D5823"/>
    <w:rsid w:val="004D7299"/>
    <w:rsid w:val="004D7579"/>
    <w:rsid w:val="004E080A"/>
    <w:rsid w:val="004E0828"/>
    <w:rsid w:val="004E1AF4"/>
    <w:rsid w:val="004E1CEA"/>
    <w:rsid w:val="004E3655"/>
    <w:rsid w:val="004E4A4D"/>
    <w:rsid w:val="004E505E"/>
    <w:rsid w:val="004E5785"/>
    <w:rsid w:val="004E591C"/>
    <w:rsid w:val="004E63FC"/>
    <w:rsid w:val="004E72BB"/>
    <w:rsid w:val="004F032C"/>
    <w:rsid w:val="004F076A"/>
    <w:rsid w:val="004F0C2B"/>
    <w:rsid w:val="004F2911"/>
    <w:rsid w:val="004F3F65"/>
    <w:rsid w:val="004F4070"/>
    <w:rsid w:val="004F6021"/>
    <w:rsid w:val="004F6C38"/>
    <w:rsid w:val="004F7429"/>
    <w:rsid w:val="004F7CC2"/>
    <w:rsid w:val="005006B4"/>
    <w:rsid w:val="00503580"/>
    <w:rsid w:val="005042F9"/>
    <w:rsid w:val="00505082"/>
    <w:rsid w:val="0050571A"/>
    <w:rsid w:val="00505BB0"/>
    <w:rsid w:val="00511811"/>
    <w:rsid w:val="005151A1"/>
    <w:rsid w:val="00516707"/>
    <w:rsid w:val="00516944"/>
    <w:rsid w:val="005179C0"/>
    <w:rsid w:val="0052013D"/>
    <w:rsid w:val="005209F5"/>
    <w:rsid w:val="00521667"/>
    <w:rsid w:val="00522719"/>
    <w:rsid w:val="005229F5"/>
    <w:rsid w:val="00522D76"/>
    <w:rsid w:val="00523787"/>
    <w:rsid w:val="0052383A"/>
    <w:rsid w:val="005239C7"/>
    <w:rsid w:val="00524759"/>
    <w:rsid w:val="00524786"/>
    <w:rsid w:val="005256FD"/>
    <w:rsid w:val="00525D98"/>
    <w:rsid w:val="00527482"/>
    <w:rsid w:val="00527572"/>
    <w:rsid w:val="00531375"/>
    <w:rsid w:val="00531393"/>
    <w:rsid w:val="00531EC5"/>
    <w:rsid w:val="00532B2E"/>
    <w:rsid w:val="00533542"/>
    <w:rsid w:val="00533881"/>
    <w:rsid w:val="00534804"/>
    <w:rsid w:val="00537C5C"/>
    <w:rsid w:val="00540CF6"/>
    <w:rsid w:val="0054181F"/>
    <w:rsid w:val="00541CC5"/>
    <w:rsid w:val="0054230E"/>
    <w:rsid w:val="00543C10"/>
    <w:rsid w:val="00543DD7"/>
    <w:rsid w:val="0054771C"/>
    <w:rsid w:val="00550187"/>
    <w:rsid w:val="00550CEE"/>
    <w:rsid w:val="00551B8F"/>
    <w:rsid w:val="00552405"/>
    <w:rsid w:val="00554340"/>
    <w:rsid w:val="005562E1"/>
    <w:rsid w:val="00557284"/>
    <w:rsid w:val="00557A41"/>
    <w:rsid w:val="00557C49"/>
    <w:rsid w:val="005602F5"/>
    <w:rsid w:val="00560DD1"/>
    <w:rsid w:val="00561895"/>
    <w:rsid w:val="005629F3"/>
    <w:rsid w:val="00562A24"/>
    <w:rsid w:val="00566054"/>
    <w:rsid w:val="00567DE0"/>
    <w:rsid w:val="005707B0"/>
    <w:rsid w:val="00573E1D"/>
    <w:rsid w:val="00574521"/>
    <w:rsid w:val="0057533E"/>
    <w:rsid w:val="00577200"/>
    <w:rsid w:val="005800AB"/>
    <w:rsid w:val="005806A1"/>
    <w:rsid w:val="0058180D"/>
    <w:rsid w:val="0058333A"/>
    <w:rsid w:val="00583AB3"/>
    <w:rsid w:val="00585BF0"/>
    <w:rsid w:val="00587749"/>
    <w:rsid w:val="005877B4"/>
    <w:rsid w:val="00587D13"/>
    <w:rsid w:val="0059132A"/>
    <w:rsid w:val="0059535B"/>
    <w:rsid w:val="005954C4"/>
    <w:rsid w:val="005A052F"/>
    <w:rsid w:val="005A0BA0"/>
    <w:rsid w:val="005A1476"/>
    <w:rsid w:val="005A2B7C"/>
    <w:rsid w:val="005A4E2C"/>
    <w:rsid w:val="005A52B6"/>
    <w:rsid w:val="005A5BD8"/>
    <w:rsid w:val="005A6945"/>
    <w:rsid w:val="005A6D83"/>
    <w:rsid w:val="005A74BF"/>
    <w:rsid w:val="005A7BFA"/>
    <w:rsid w:val="005B0252"/>
    <w:rsid w:val="005B09EE"/>
    <w:rsid w:val="005B0BED"/>
    <w:rsid w:val="005B174C"/>
    <w:rsid w:val="005B442D"/>
    <w:rsid w:val="005B4B1E"/>
    <w:rsid w:val="005B585B"/>
    <w:rsid w:val="005B59CD"/>
    <w:rsid w:val="005B757E"/>
    <w:rsid w:val="005C12A0"/>
    <w:rsid w:val="005C2345"/>
    <w:rsid w:val="005C2BA2"/>
    <w:rsid w:val="005C38BD"/>
    <w:rsid w:val="005C480A"/>
    <w:rsid w:val="005C5031"/>
    <w:rsid w:val="005C5255"/>
    <w:rsid w:val="005C7BA3"/>
    <w:rsid w:val="005D0B4E"/>
    <w:rsid w:val="005D14C3"/>
    <w:rsid w:val="005D3F9D"/>
    <w:rsid w:val="005D440E"/>
    <w:rsid w:val="005D7650"/>
    <w:rsid w:val="005E052E"/>
    <w:rsid w:val="005E1589"/>
    <w:rsid w:val="005E219C"/>
    <w:rsid w:val="005E3D02"/>
    <w:rsid w:val="005E49CF"/>
    <w:rsid w:val="005E4D20"/>
    <w:rsid w:val="005F0926"/>
    <w:rsid w:val="005F12E1"/>
    <w:rsid w:val="005F2713"/>
    <w:rsid w:val="005F2DE8"/>
    <w:rsid w:val="005F3E53"/>
    <w:rsid w:val="005F430B"/>
    <w:rsid w:val="005F457C"/>
    <w:rsid w:val="005F4F44"/>
    <w:rsid w:val="005F57A7"/>
    <w:rsid w:val="005F6B46"/>
    <w:rsid w:val="005F7E2C"/>
    <w:rsid w:val="00600D67"/>
    <w:rsid w:val="00601EC7"/>
    <w:rsid w:val="006021CD"/>
    <w:rsid w:val="0060312B"/>
    <w:rsid w:val="006045E6"/>
    <w:rsid w:val="00604646"/>
    <w:rsid w:val="00604929"/>
    <w:rsid w:val="00606391"/>
    <w:rsid w:val="00606AEE"/>
    <w:rsid w:val="00610068"/>
    <w:rsid w:val="00610D17"/>
    <w:rsid w:val="006121E8"/>
    <w:rsid w:val="0061299C"/>
    <w:rsid w:val="006136B0"/>
    <w:rsid w:val="0061492F"/>
    <w:rsid w:val="00614981"/>
    <w:rsid w:val="00617217"/>
    <w:rsid w:val="00620F49"/>
    <w:rsid w:val="006217CD"/>
    <w:rsid w:val="00625B5D"/>
    <w:rsid w:val="0062605C"/>
    <w:rsid w:val="00626144"/>
    <w:rsid w:val="00626794"/>
    <w:rsid w:val="00626C06"/>
    <w:rsid w:val="0063024E"/>
    <w:rsid w:val="0063090D"/>
    <w:rsid w:val="006315AC"/>
    <w:rsid w:val="0063187E"/>
    <w:rsid w:val="00631DBA"/>
    <w:rsid w:val="006321ED"/>
    <w:rsid w:val="00634684"/>
    <w:rsid w:val="0063496B"/>
    <w:rsid w:val="00634B6C"/>
    <w:rsid w:val="00634FC0"/>
    <w:rsid w:val="00635128"/>
    <w:rsid w:val="006356AD"/>
    <w:rsid w:val="00635AE7"/>
    <w:rsid w:val="0063675E"/>
    <w:rsid w:val="0063730B"/>
    <w:rsid w:val="00637411"/>
    <w:rsid w:val="00637907"/>
    <w:rsid w:val="00640191"/>
    <w:rsid w:val="00640959"/>
    <w:rsid w:val="00640B4C"/>
    <w:rsid w:val="00641663"/>
    <w:rsid w:val="00641883"/>
    <w:rsid w:val="00642BB4"/>
    <w:rsid w:val="00643646"/>
    <w:rsid w:val="00644FA8"/>
    <w:rsid w:val="006456BC"/>
    <w:rsid w:val="006465B9"/>
    <w:rsid w:val="00646E3E"/>
    <w:rsid w:val="00647267"/>
    <w:rsid w:val="006511BA"/>
    <w:rsid w:val="00651A8A"/>
    <w:rsid w:val="00651B97"/>
    <w:rsid w:val="006527AE"/>
    <w:rsid w:val="00652B72"/>
    <w:rsid w:val="0065331D"/>
    <w:rsid w:val="0065338F"/>
    <w:rsid w:val="00655713"/>
    <w:rsid w:val="006559D7"/>
    <w:rsid w:val="006565CA"/>
    <w:rsid w:val="0065731C"/>
    <w:rsid w:val="00657C8E"/>
    <w:rsid w:val="00657E14"/>
    <w:rsid w:val="00660149"/>
    <w:rsid w:val="006631C1"/>
    <w:rsid w:val="00663781"/>
    <w:rsid w:val="00663CE6"/>
    <w:rsid w:val="006646FC"/>
    <w:rsid w:val="00664964"/>
    <w:rsid w:val="00667FB0"/>
    <w:rsid w:val="00671155"/>
    <w:rsid w:val="0067185F"/>
    <w:rsid w:val="0067246F"/>
    <w:rsid w:val="00672813"/>
    <w:rsid w:val="0067300D"/>
    <w:rsid w:val="006751A2"/>
    <w:rsid w:val="006771F9"/>
    <w:rsid w:val="00677E0C"/>
    <w:rsid w:val="00690991"/>
    <w:rsid w:val="00691B86"/>
    <w:rsid w:val="00693C11"/>
    <w:rsid w:val="006945C5"/>
    <w:rsid w:val="006946D2"/>
    <w:rsid w:val="00696199"/>
    <w:rsid w:val="00696678"/>
    <w:rsid w:val="006A3B46"/>
    <w:rsid w:val="006A5974"/>
    <w:rsid w:val="006A5B17"/>
    <w:rsid w:val="006A5BC7"/>
    <w:rsid w:val="006A651E"/>
    <w:rsid w:val="006A7520"/>
    <w:rsid w:val="006A7EA8"/>
    <w:rsid w:val="006B053F"/>
    <w:rsid w:val="006B0914"/>
    <w:rsid w:val="006B1916"/>
    <w:rsid w:val="006B1DB3"/>
    <w:rsid w:val="006B2414"/>
    <w:rsid w:val="006B301F"/>
    <w:rsid w:val="006B3C75"/>
    <w:rsid w:val="006B444C"/>
    <w:rsid w:val="006B4D00"/>
    <w:rsid w:val="006B561E"/>
    <w:rsid w:val="006B5DC2"/>
    <w:rsid w:val="006B624A"/>
    <w:rsid w:val="006C0E79"/>
    <w:rsid w:val="006C1225"/>
    <w:rsid w:val="006C1755"/>
    <w:rsid w:val="006C1C28"/>
    <w:rsid w:val="006C1E76"/>
    <w:rsid w:val="006C3CEE"/>
    <w:rsid w:val="006C465C"/>
    <w:rsid w:val="006C49A7"/>
    <w:rsid w:val="006C55D8"/>
    <w:rsid w:val="006C6463"/>
    <w:rsid w:val="006C6BFC"/>
    <w:rsid w:val="006C7E6A"/>
    <w:rsid w:val="006D2AE5"/>
    <w:rsid w:val="006D2AF1"/>
    <w:rsid w:val="006D2FC8"/>
    <w:rsid w:val="006D4336"/>
    <w:rsid w:val="006D58CB"/>
    <w:rsid w:val="006D6861"/>
    <w:rsid w:val="006D78C0"/>
    <w:rsid w:val="006E04B1"/>
    <w:rsid w:val="006E0B96"/>
    <w:rsid w:val="006E229D"/>
    <w:rsid w:val="006E2F55"/>
    <w:rsid w:val="006E4DB6"/>
    <w:rsid w:val="006E68D5"/>
    <w:rsid w:val="006E7EF4"/>
    <w:rsid w:val="006F08A6"/>
    <w:rsid w:val="006F13A4"/>
    <w:rsid w:val="006F2869"/>
    <w:rsid w:val="006F5257"/>
    <w:rsid w:val="006F5BFE"/>
    <w:rsid w:val="006F679A"/>
    <w:rsid w:val="006F70BC"/>
    <w:rsid w:val="006F73F8"/>
    <w:rsid w:val="00700806"/>
    <w:rsid w:val="0070144F"/>
    <w:rsid w:val="0070151F"/>
    <w:rsid w:val="00702737"/>
    <w:rsid w:val="00702BC1"/>
    <w:rsid w:val="00703101"/>
    <w:rsid w:val="00704626"/>
    <w:rsid w:val="00704982"/>
    <w:rsid w:val="007055AF"/>
    <w:rsid w:val="00705E75"/>
    <w:rsid w:val="007063CA"/>
    <w:rsid w:val="007069D6"/>
    <w:rsid w:val="0070748B"/>
    <w:rsid w:val="00711195"/>
    <w:rsid w:val="00711B57"/>
    <w:rsid w:val="0071409B"/>
    <w:rsid w:val="0071468D"/>
    <w:rsid w:val="0071750A"/>
    <w:rsid w:val="00720F88"/>
    <w:rsid w:val="007218CF"/>
    <w:rsid w:val="00723D5A"/>
    <w:rsid w:val="00724FE6"/>
    <w:rsid w:val="00725990"/>
    <w:rsid w:val="00726BD6"/>
    <w:rsid w:val="00726FE5"/>
    <w:rsid w:val="0072724A"/>
    <w:rsid w:val="00727ECD"/>
    <w:rsid w:val="007301B2"/>
    <w:rsid w:val="007307D6"/>
    <w:rsid w:val="00731E6A"/>
    <w:rsid w:val="00734A5F"/>
    <w:rsid w:val="00735374"/>
    <w:rsid w:val="00735AC0"/>
    <w:rsid w:val="007372CC"/>
    <w:rsid w:val="0074154B"/>
    <w:rsid w:val="00741DBC"/>
    <w:rsid w:val="00744137"/>
    <w:rsid w:val="0074542A"/>
    <w:rsid w:val="00746716"/>
    <w:rsid w:val="0074763D"/>
    <w:rsid w:val="00747738"/>
    <w:rsid w:val="00747933"/>
    <w:rsid w:val="007508BA"/>
    <w:rsid w:val="00754BBD"/>
    <w:rsid w:val="007575FF"/>
    <w:rsid w:val="0076007C"/>
    <w:rsid w:val="007613C5"/>
    <w:rsid w:val="007619FB"/>
    <w:rsid w:val="007635AC"/>
    <w:rsid w:val="0076472E"/>
    <w:rsid w:val="00765AFF"/>
    <w:rsid w:val="00772A24"/>
    <w:rsid w:val="00773075"/>
    <w:rsid w:val="00773851"/>
    <w:rsid w:val="00773F0F"/>
    <w:rsid w:val="00774192"/>
    <w:rsid w:val="00776DDC"/>
    <w:rsid w:val="00777BC2"/>
    <w:rsid w:val="007804F3"/>
    <w:rsid w:val="007807F8"/>
    <w:rsid w:val="007809CB"/>
    <w:rsid w:val="007825C6"/>
    <w:rsid w:val="00783403"/>
    <w:rsid w:val="007853E8"/>
    <w:rsid w:val="00785B18"/>
    <w:rsid w:val="00785BF7"/>
    <w:rsid w:val="007866A6"/>
    <w:rsid w:val="00786A64"/>
    <w:rsid w:val="00787F6B"/>
    <w:rsid w:val="007926A8"/>
    <w:rsid w:val="0079297F"/>
    <w:rsid w:val="00792B46"/>
    <w:rsid w:val="00792B89"/>
    <w:rsid w:val="00793338"/>
    <w:rsid w:val="0079354E"/>
    <w:rsid w:val="00794996"/>
    <w:rsid w:val="00797508"/>
    <w:rsid w:val="007A13F7"/>
    <w:rsid w:val="007A310F"/>
    <w:rsid w:val="007A5DB9"/>
    <w:rsid w:val="007A73AD"/>
    <w:rsid w:val="007B21E5"/>
    <w:rsid w:val="007B29E2"/>
    <w:rsid w:val="007B3EDE"/>
    <w:rsid w:val="007B4FDF"/>
    <w:rsid w:val="007B619F"/>
    <w:rsid w:val="007B6A56"/>
    <w:rsid w:val="007B6D0D"/>
    <w:rsid w:val="007B776A"/>
    <w:rsid w:val="007C0625"/>
    <w:rsid w:val="007C0DF3"/>
    <w:rsid w:val="007C1D32"/>
    <w:rsid w:val="007C4691"/>
    <w:rsid w:val="007C51F6"/>
    <w:rsid w:val="007C666D"/>
    <w:rsid w:val="007C6805"/>
    <w:rsid w:val="007C757F"/>
    <w:rsid w:val="007D1A8B"/>
    <w:rsid w:val="007D1C89"/>
    <w:rsid w:val="007D36F6"/>
    <w:rsid w:val="007D4F6D"/>
    <w:rsid w:val="007E22BE"/>
    <w:rsid w:val="007E46B7"/>
    <w:rsid w:val="007E5899"/>
    <w:rsid w:val="007E69F7"/>
    <w:rsid w:val="007E7A95"/>
    <w:rsid w:val="007F1404"/>
    <w:rsid w:val="007F17F9"/>
    <w:rsid w:val="007F1A95"/>
    <w:rsid w:val="007F1B36"/>
    <w:rsid w:val="007F1DDD"/>
    <w:rsid w:val="007F6C40"/>
    <w:rsid w:val="007F7369"/>
    <w:rsid w:val="00801131"/>
    <w:rsid w:val="00801A48"/>
    <w:rsid w:val="00801D9F"/>
    <w:rsid w:val="008033CB"/>
    <w:rsid w:val="0080342B"/>
    <w:rsid w:val="00804257"/>
    <w:rsid w:val="00804542"/>
    <w:rsid w:val="008053D9"/>
    <w:rsid w:val="00805DB9"/>
    <w:rsid w:val="00810818"/>
    <w:rsid w:val="00810971"/>
    <w:rsid w:val="00812945"/>
    <w:rsid w:val="008141CE"/>
    <w:rsid w:val="0081646C"/>
    <w:rsid w:val="0081721C"/>
    <w:rsid w:val="00821796"/>
    <w:rsid w:val="00824C3B"/>
    <w:rsid w:val="008251A5"/>
    <w:rsid w:val="00825C79"/>
    <w:rsid w:val="0082653B"/>
    <w:rsid w:val="00826DE0"/>
    <w:rsid w:val="00830D9F"/>
    <w:rsid w:val="00830ED3"/>
    <w:rsid w:val="00831303"/>
    <w:rsid w:val="00831CE6"/>
    <w:rsid w:val="008357B3"/>
    <w:rsid w:val="0083755D"/>
    <w:rsid w:val="008410AB"/>
    <w:rsid w:val="0084350C"/>
    <w:rsid w:val="00844EB6"/>
    <w:rsid w:val="00845118"/>
    <w:rsid w:val="0084710F"/>
    <w:rsid w:val="0084738C"/>
    <w:rsid w:val="0085081E"/>
    <w:rsid w:val="00854629"/>
    <w:rsid w:val="0085470A"/>
    <w:rsid w:val="00855F43"/>
    <w:rsid w:val="00857151"/>
    <w:rsid w:val="00857420"/>
    <w:rsid w:val="00857A52"/>
    <w:rsid w:val="00860632"/>
    <w:rsid w:val="00860AAF"/>
    <w:rsid w:val="00861272"/>
    <w:rsid w:val="008634BA"/>
    <w:rsid w:val="00864734"/>
    <w:rsid w:val="00866221"/>
    <w:rsid w:val="00866D39"/>
    <w:rsid w:val="00867909"/>
    <w:rsid w:val="00867C71"/>
    <w:rsid w:val="00867D9B"/>
    <w:rsid w:val="0087034D"/>
    <w:rsid w:val="008715C7"/>
    <w:rsid w:val="008730A3"/>
    <w:rsid w:val="008759A1"/>
    <w:rsid w:val="00875E3B"/>
    <w:rsid w:val="008774E4"/>
    <w:rsid w:val="0087757F"/>
    <w:rsid w:val="008776DE"/>
    <w:rsid w:val="00882B56"/>
    <w:rsid w:val="00883600"/>
    <w:rsid w:val="00883610"/>
    <w:rsid w:val="00884FA5"/>
    <w:rsid w:val="00885733"/>
    <w:rsid w:val="00885985"/>
    <w:rsid w:val="008862A9"/>
    <w:rsid w:val="0088735A"/>
    <w:rsid w:val="0089001F"/>
    <w:rsid w:val="00890112"/>
    <w:rsid w:val="00891A4A"/>
    <w:rsid w:val="008922F9"/>
    <w:rsid w:val="0089463F"/>
    <w:rsid w:val="00896945"/>
    <w:rsid w:val="008A1D41"/>
    <w:rsid w:val="008A2F59"/>
    <w:rsid w:val="008A4416"/>
    <w:rsid w:val="008A63C8"/>
    <w:rsid w:val="008A7FA0"/>
    <w:rsid w:val="008B0992"/>
    <w:rsid w:val="008B0EB1"/>
    <w:rsid w:val="008B1FF8"/>
    <w:rsid w:val="008B3322"/>
    <w:rsid w:val="008B34D2"/>
    <w:rsid w:val="008B4D67"/>
    <w:rsid w:val="008B7005"/>
    <w:rsid w:val="008C0003"/>
    <w:rsid w:val="008C0319"/>
    <w:rsid w:val="008C03E4"/>
    <w:rsid w:val="008C1486"/>
    <w:rsid w:val="008C25EE"/>
    <w:rsid w:val="008C26B3"/>
    <w:rsid w:val="008C4FEE"/>
    <w:rsid w:val="008C6F1D"/>
    <w:rsid w:val="008C7F8E"/>
    <w:rsid w:val="008D0FB4"/>
    <w:rsid w:val="008D6E63"/>
    <w:rsid w:val="008E0BED"/>
    <w:rsid w:val="008E0E8B"/>
    <w:rsid w:val="008E2675"/>
    <w:rsid w:val="008E2C5C"/>
    <w:rsid w:val="008E47DC"/>
    <w:rsid w:val="008F0797"/>
    <w:rsid w:val="008F1E14"/>
    <w:rsid w:val="008F3279"/>
    <w:rsid w:val="008F5230"/>
    <w:rsid w:val="008F5CA1"/>
    <w:rsid w:val="00900D2B"/>
    <w:rsid w:val="009017B6"/>
    <w:rsid w:val="00902F5E"/>
    <w:rsid w:val="00903219"/>
    <w:rsid w:val="009035FC"/>
    <w:rsid w:val="00903D72"/>
    <w:rsid w:val="00905ADC"/>
    <w:rsid w:val="0090789D"/>
    <w:rsid w:val="00911A8D"/>
    <w:rsid w:val="00914487"/>
    <w:rsid w:val="009173D6"/>
    <w:rsid w:val="009224EB"/>
    <w:rsid w:val="009234C5"/>
    <w:rsid w:val="00925342"/>
    <w:rsid w:val="00927F6D"/>
    <w:rsid w:val="0093071B"/>
    <w:rsid w:val="00931182"/>
    <w:rsid w:val="00931E11"/>
    <w:rsid w:val="00932E57"/>
    <w:rsid w:val="00933320"/>
    <w:rsid w:val="00937FD3"/>
    <w:rsid w:val="00940F9F"/>
    <w:rsid w:val="0094178C"/>
    <w:rsid w:val="00942860"/>
    <w:rsid w:val="009428FC"/>
    <w:rsid w:val="00942D33"/>
    <w:rsid w:val="0094365F"/>
    <w:rsid w:val="0094398A"/>
    <w:rsid w:val="00944819"/>
    <w:rsid w:val="00946124"/>
    <w:rsid w:val="00946D3D"/>
    <w:rsid w:val="00950B29"/>
    <w:rsid w:val="00950EAE"/>
    <w:rsid w:val="009510B1"/>
    <w:rsid w:val="0095144C"/>
    <w:rsid w:val="00951D37"/>
    <w:rsid w:val="00953E50"/>
    <w:rsid w:val="00954751"/>
    <w:rsid w:val="00955C3C"/>
    <w:rsid w:val="009566E5"/>
    <w:rsid w:val="009572CC"/>
    <w:rsid w:val="00957F75"/>
    <w:rsid w:val="00960205"/>
    <w:rsid w:val="009602DB"/>
    <w:rsid w:val="009606B9"/>
    <w:rsid w:val="00961335"/>
    <w:rsid w:val="00961986"/>
    <w:rsid w:val="00961E2F"/>
    <w:rsid w:val="009624B3"/>
    <w:rsid w:val="009634CD"/>
    <w:rsid w:val="00963A80"/>
    <w:rsid w:val="00963AB3"/>
    <w:rsid w:val="00964CD4"/>
    <w:rsid w:val="00965840"/>
    <w:rsid w:val="00965AC1"/>
    <w:rsid w:val="0097064F"/>
    <w:rsid w:val="00974863"/>
    <w:rsid w:val="00975437"/>
    <w:rsid w:val="00976339"/>
    <w:rsid w:val="009775E3"/>
    <w:rsid w:val="009814B5"/>
    <w:rsid w:val="009837D2"/>
    <w:rsid w:val="00983E4B"/>
    <w:rsid w:val="00985206"/>
    <w:rsid w:val="00990533"/>
    <w:rsid w:val="009907B2"/>
    <w:rsid w:val="0099092D"/>
    <w:rsid w:val="00991A4C"/>
    <w:rsid w:val="00992C91"/>
    <w:rsid w:val="009935E1"/>
    <w:rsid w:val="009937A9"/>
    <w:rsid w:val="00995D61"/>
    <w:rsid w:val="009A500E"/>
    <w:rsid w:val="009A64A7"/>
    <w:rsid w:val="009A6D7F"/>
    <w:rsid w:val="009A6DF2"/>
    <w:rsid w:val="009B06DA"/>
    <w:rsid w:val="009B56BD"/>
    <w:rsid w:val="009B64AF"/>
    <w:rsid w:val="009B7470"/>
    <w:rsid w:val="009C09C4"/>
    <w:rsid w:val="009C307E"/>
    <w:rsid w:val="009C3564"/>
    <w:rsid w:val="009C50FB"/>
    <w:rsid w:val="009C56AF"/>
    <w:rsid w:val="009C6874"/>
    <w:rsid w:val="009C737E"/>
    <w:rsid w:val="009C76F8"/>
    <w:rsid w:val="009D103C"/>
    <w:rsid w:val="009D1AC5"/>
    <w:rsid w:val="009D30CC"/>
    <w:rsid w:val="009D69C7"/>
    <w:rsid w:val="009E0E52"/>
    <w:rsid w:val="009E2CA8"/>
    <w:rsid w:val="009E31F9"/>
    <w:rsid w:val="009E46CB"/>
    <w:rsid w:val="009E6B20"/>
    <w:rsid w:val="009E71EC"/>
    <w:rsid w:val="009F0640"/>
    <w:rsid w:val="009F147B"/>
    <w:rsid w:val="009F21BD"/>
    <w:rsid w:val="009F2889"/>
    <w:rsid w:val="009F36DD"/>
    <w:rsid w:val="009F3869"/>
    <w:rsid w:val="009F3CEF"/>
    <w:rsid w:val="009F4A62"/>
    <w:rsid w:val="009F5EFB"/>
    <w:rsid w:val="009F63D2"/>
    <w:rsid w:val="009F76D9"/>
    <w:rsid w:val="00A00BB0"/>
    <w:rsid w:val="00A00DF4"/>
    <w:rsid w:val="00A01DE7"/>
    <w:rsid w:val="00A01F27"/>
    <w:rsid w:val="00A021A4"/>
    <w:rsid w:val="00A036A1"/>
    <w:rsid w:val="00A06455"/>
    <w:rsid w:val="00A07FBC"/>
    <w:rsid w:val="00A108FC"/>
    <w:rsid w:val="00A10DAD"/>
    <w:rsid w:val="00A1140B"/>
    <w:rsid w:val="00A118EA"/>
    <w:rsid w:val="00A13DE5"/>
    <w:rsid w:val="00A1422C"/>
    <w:rsid w:val="00A14FAE"/>
    <w:rsid w:val="00A17CBF"/>
    <w:rsid w:val="00A21FD5"/>
    <w:rsid w:val="00A25B5D"/>
    <w:rsid w:val="00A26FB9"/>
    <w:rsid w:val="00A26FD4"/>
    <w:rsid w:val="00A3081D"/>
    <w:rsid w:val="00A30A22"/>
    <w:rsid w:val="00A33145"/>
    <w:rsid w:val="00A339C9"/>
    <w:rsid w:val="00A34296"/>
    <w:rsid w:val="00A4492E"/>
    <w:rsid w:val="00A4589F"/>
    <w:rsid w:val="00A472EA"/>
    <w:rsid w:val="00A47B81"/>
    <w:rsid w:val="00A50B30"/>
    <w:rsid w:val="00A515D1"/>
    <w:rsid w:val="00A51ABF"/>
    <w:rsid w:val="00A53028"/>
    <w:rsid w:val="00A55477"/>
    <w:rsid w:val="00A566BE"/>
    <w:rsid w:val="00A62142"/>
    <w:rsid w:val="00A64490"/>
    <w:rsid w:val="00A64799"/>
    <w:rsid w:val="00A657E1"/>
    <w:rsid w:val="00A66CB1"/>
    <w:rsid w:val="00A66F9A"/>
    <w:rsid w:val="00A70932"/>
    <w:rsid w:val="00A72F18"/>
    <w:rsid w:val="00A74102"/>
    <w:rsid w:val="00A747FB"/>
    <w:rsid w:val="00A7577A"/>
    <w:rsid w:val="00A76135"/>
    <w:rsid w:val="00A774AE"/>
    <w:rsid w:val="00A77702"/>
    <w:rsid w:val="00A848AC"/>
    <w:rsid w:val="00A87761"/>
    <w:rsid w:val="00A877C6"/>
    <w:rsid w:val="00A877D9"/>
    <w:rsid w:val="00A918D2"/>
    <w:rsid w:val="00A9195A"/>
    <w:rsid w:val="00A926DF"/>
    <w:rsid w:val="00A92A2A"/>
    <w:rsid w:val="00A93DFA"/>
    <w:rsid w:val="00A94730"/>
    <w:rsid w:val="00A95D19"/>
    <w:rsid w:val="00A966E4"/>
    <w:rsid w:val="00A96A2F"/>
    <w:rsid w:val="00A96A7F"/>
    <w:rsid w:val="00A97E5C"/>
    <w:rsid w:val="00AA0691"/>
    <w:rsid w:val="00AA0AC7"/>
    <w:rsid w:val="00AA0B58"/>
    <w:rsid w:val="00AA0DF2"/>
    <w:rsid w:val="00AA25D7"/>
    <w:rsid w:val="00AA2CD3"/>
    <w:rsid w:val="00AB121D"/>
    <w:rsid w:val="00AB1DF0"/>
    <w:rsid w:val="00AB3F1C"/>
    <w:rsid w:val="00AB41AA"/>
    <w:rsid w:val="00AB52C8"/>
    <w:rsid w:val="00AB59AD"/>
    <w:rsid w:val="00AB63D2"/>
    <w:rsid w:val="00AB6BE7"/>
    <w:rsid w:val="00AB6CAA"/>
    <w:rsid w:val="00AB6E7E"/>
    <w:rsid w:val="00AC224F"/>
    <w:rsid w:val="00AC2B88"/>
    <w:rsid w:val="00AC3D28"/>
    <w:rsid w:val="00AC7FAA"/>
    <w:rsid w:val="00AD0D03"/>
    <w:rsid w:val="00AD1E79"/>
    <w:rsid w:val="00AD4C63"/>
    <w:rsid w:val="00AD5960"/>
    <w:rsid w:val="00AD6387"/>
    <w:rsid w:val="00AD7428"/>
    <w:rsid w:val="00AE4119"/>
    <w:rsid w:val="00AE4B4C"/>
    <w:rsid w:val="00AE5CA9"/>
    <w:rsid w:val="00AE60F2"/>
    <w:rsid w:val="00AE63E5"/>
    <w:rsid w:val="00AE6E11"/>
    <w:rsid w:val="00AF05D7"/>
    <w:rsid w:val="00AF3145"/>
    <w:rsid w:val="00AF4E86"/>
    <w:rsid w:val="00AF5945"/>
    <w:rsid w:val="00AF6470"/>
    <w:rsid w:val="00B0119F"/>
    <w:rsid w:val="00B014DF"/>
    <w:rsid w:val="00B01B73"/>
    <w:rsid w:val="00B01BB8"/>
    <w:rsid w:val="00B02312"/>
    <w:rsid w:val="00B039C4"/>
    <w:rsid w:val="00B043B2"/>
    <w:rsid w:val="00B06003"/>
    <w:rsid w:val="00B11611"/>
    <w:rsid w:val="00B11EEB"/>
    <w:rsid w:val="00B1283E"/>
    <w:rsid w:val="00B12EEA"/>
    <w:rsid w:val="00B13E14"/>
    <w:rsid w:val="00B14F1D"/>
    <w:rsid w:val="00B153B8"/>
    <w:rsid w:val="00B16091"/>
    <w:rsid w:val="00B161D1"/>
    <w:rsid w:val="00B17BAC"/>
    <w:rsid w:val="00B20767"/>
    <w:rsid w:val="00B226D7"/>
    <w:rsid w:val="00B24FD8"/>
    <w:rsid w:val="00B25172"/>
    <w:rsid w:val="00B30A22"/>
    <w:rsid w:val="00B31086"/>
    <w:rsid w:val="00B31F9F"/>
    <w:rsid w:val="00B32B5B"/>
    <w:rsid w:val="00B36180"/>
    <w:rsid w:val="00B36666"/>
    <w:rsid w:val="00B36853"/>
    <w:rsid w:val="00B41FBA"/>
    <w:rsid w:val="00B4307D"/>
    <w:rsid w:val="00B434CE"/>
    <w:rsid w:val="00B50260"/>
    <w:rsid w:val="00B5156A"/>
    <w:rsid w:val="00B51A55"/>
    <w:rsid w:val="00B62FE7"/>
    <w:rsid w:val="00B6749E"/>
    <w:rsid w:val="00B708B9"/>
    <w:rsid w:val="00B72B1B"/>
    <w:rsid w:val="00B7514D"/>
    <w:rsid w:val="00B7670E"/>
    <w:rsid w:val="00B77A6C"/>
    <w:rsid w:val="00B8047B"/>
    <w:rsid w:val="00B80D90"/>
    <w:rsid w:val="00B81B93"/>
    <w:rsid w:val="00B84B95"/>
    <w:rsid w:val="00B87687"/>
    <w:rsid w:val="00B879AE"/>
    <w:rsid w:val="00B90CAA"/>
    <w:rsid w:val="00B92A40"/>
    <w:rsid w:val="00B97CCB"/>
    <w:rsid w:val="00BA0706"/>
    <w:rsid w:val="00BA0D85"/>
    <w:rsid w:val="00BA166F"/>
    <w:rsid w:val="00BA27C6"/>
    <w:rsid w:val="00BA2DEA"/>
    <w:rsid w:val="00BA4C91"/>
    <w:rsid w:val="00BA4E0A"/>
    <w:rsid w:val="00BA5DCD"/>
    <w:rsid w:val="00BA5F48"/>
    <w:rsid w:val="00BA66B1"/>
    <w:rsid w:val="00BB102C"/>
    <w:rsid w:val="00BB273E"/>
    <w:rsid w:val="00BB43A6"/>
    <w:rsid w:val="00BB54FB"/>
    <w:rsid w:val="00BB76F5"/>
    <w:rsid w:val="00BC37D1"/>
    <w:rsid w:val="00BC4498"/>
    <w:rsid w:val="00BC6887"/>
    <w:rsid w:val="00BC6F10"/>
    <w:rsid w:val="00BC78D0"/>
    <w:rsid w:val="00BD3039"/>
    <w:rsid w:val="00BD35B1"/>
    <w:rsid w:val="00BD40CE"/>
    <w:rsid w:val="00BD43B1"/>
    <w:rsid w:val="00BD46C4"/>
    <w:rsid w:val="00BD47EB"/>
    <w:rsid w:val="00BD4E5F"/>
    <w:rsid w:val="00BD608E"/>
    <w:rsid w:val="00BD6C6E"/>
    <w:rsid w:val="00BD6FE5"/>
    <w:rsid w:val="00BE0FF3"/>
    <w:rsid w:val="00BE1F29"/>
    <w:rsid w:val="00BE37D5"/>
    <w:rsid w:val="00BE3EBE"/>
    <w:rsid w:val="00BE40FC"/>
    <w:rsid w:val="00BE7823"/>
    <w:rsid w:val="00BF0CDE"/>
    <w:rsid w:val="00BF1604"/>
    <w:rsid w:val="00BF285F"/>
    <w:rsid w:val="00BF460F"/>
    <w:rsid w:val="00BF6872"/>
    <w:rsid w:val="00BF74FC"/>
    <w:rsid w:val="00BF7DBA"/>
    <w:rsid w:val="00BF7E59"/>
    <w:rsid w:val="00C030CF"/>
    <w:rsid w:val="00C04CAB"/>
    <w:rsid w:val="00C054D8"/>
    <w:rsid w:val="00C057C6"/>
    <w:rsid w:val="00C05A32"/>
    <w:rsid w:val="00C06075"/>
    <w:rsid w:val="00C15AA1"/>
    <w:rsid w:val="00C164D2"/>
    <w:rsid w:val="00C173EE"/>
    <w:rsid w:val="00C21DDE"/>
    <w:rsid w:val="00C23324"/>
    <w:rsid w:val="00C23483"/>
    <w:rsid w:val="00C2470F"/>
    <w:rsid w:val="00C24BD7"/>
    <w:rsid w:val="00C25B68"/>
    <w:rsid w:val="00C267A2"/>
    <w:rsid w:val="00C26B2C"/>
    <w:rsid w:val="00C27B27"/>
    <w:rsid w:val="00C3019F"/>
    <w:rsid w:val="00C30BB4"/>
    <w:rsid w:val="00C30EEE"/>
    <w:rsid w:val="00C3103C"/>
    <w:rsid w:val="00C3270F"/>
    <w:rsid w:val="00C3319C"/>
    <w:rsid w:val="00C355C8"/>
    <w:rsid w:val="00C36772"/>
    <w:rsid w:val="00C408F4"/>
    <w:rsid w:val="00C40B0C"/>
    <w:rsid w:val="00C43602"/>
    <w:rsid w:val="00C44433"/>
    <w:rsid w:val="00C44A11"/>
    <w:rsid w:val="00C4784B"/>
    <w:rsid w:val="00C50221"/>
    <w:rsid w:val="00C51013"/>
    <w:rsid w:val="00C522C1"/>
    <w:rsid w:val="00C576F2"/>
    <w:rsid w:val="00C61FA2"/>
    <w:rsid w:val="00C6272B"/>
    <w:rsid w:val="00C62A8A"/>
    <w:rsid w:val="00C64258"/>
    <w:rsid w:val="00C64565"/>
    <w:rsid w:val="00C64D68"/>
    <w:rsid w:val="00C650C9"/>
    <w:rsid w:val="00C67037"/>
    <w:rsid w:val="00C674E7"/>
    <w:rsid w:val="00C67FB4"/>
    <w:rsid w:val="00C70FB3"/>
    <w:rsid w:val="00C713BE"/>
    <w:rsid w:val="00C71888"/>
    <w:rsid w:val="00C73EB6"/>
    <w:rsid w:val="00C76CE4"/>
    <w:rsid w:val="00C81F3E"/>
    <w:rsid w:val="00C82804"/>
    <w:rsid w:val="00C83D0F"/>
    <w:rsid w:val="00C85B18"/>
    <w:rsid w:val="00C85F1E"/>
    <w:rsid w:val="00C86633"/>
    <w:rsid w:val="00C86797"/>
    <w:rsid w:val="00C867D6"/>
    <w:rsid w:val="00C86DE2"/>
    <w:rsid w:val="00C871B2"/>
    <w:rsid w:val="00C87951"/>
    <w:rsid w:val="00C912C9"/>
    <w:rsid w:val="00C9260E"/>
    <w:rsid w:val="00C92DA8"/>
    <w:rsid w:val="00C9571B"/>
    <w:rsid w:val="00CA028A"/>
    <w:rsid w:val="00CA0E7A"/>
    <w:rsid w:val="00CA3360"/>
    <w:rsid w:val="00CA52F8"/>
    <w:rsid w:val="00CA53EB"/>
    <w:rsid w:val="00CA5479"/>
    <w:rsid w:val="00CA6597"/>
    <w:rsid w:val="00CB099C"/>
    <w:rsid w:val="00CB373C"/>
    <w:rsid w:val="00CB3846"/>
    <w:rsid w:val="00CB48EC"/>
    <w:rsid w:val="00CB5248"/>
    <w:rsid w:val="00CB78FE"/>
    <w:rsid w:val="00CC0387"/>
    <w:rsid w:val="00CC0F50"/>
    <w:rsid w:val="00CC183E"/>
    <w:rsid w:val="00CC1D89"/>
    <w:rsid w:val="00CC2257"/>
    <w:rsid w:val="00CC22D2"/>
    <w:rsid w:val="00CC24E0"/>
    <w:rsid w:val="00CC2644"/>
    <w:rsid w:val="00CC286D"/>
    <w:rsid w:val="00CC2DC3"/>
    <w:rsid w:val="00CC3C69"/>
    <w:rsid w:val="00CC4DE2"/>
    <w:rsid w:val="00CC6106"/>
    <w:rsid w:val="00CC6709"/>
    <w:rsid w:val="00CD1FDD"/>
    <w:rsid w:val="00CD448C"/>
    <w:rsid w:val="00CD5091"/>
    <w:rsid w:val="00CD5392"/>
    <w:rsid w:val="00CD6162"/>
    <w:rsid w:val="00CE0091"/>
    <w:rsid w:val="00CE1E99"/>
    <w:rsid w:val="00CE2351"/>
    <w:rsid w:val="00CE2C9A"/>
    <w:rsid w:val="00CE4927"/>
    <w:rsid w:val="00CE4D51"/>
    <w:rsid w:val="00CE53B2"/>
    <w:rsid w:val="00CE5DDE"/>
    <w:rsid w:val="00CE7469"/>
    <w:rsid w:val="00CF0777"/>
    <w:rsid w:val="00CF1A02"/>
    <w:rsid w:val="00CF28F9"/>
    <w:rsid w:val="00CF482F"/>
    <w:rsid w:val="00CF5F29"/>
    <w:rsid w:val="00CF679B"/>
    <w:rsid w:val="00CF7163"/>
    <w:rsid w:val="00D02913"/>
    <w:rsid w:val="00D0294E"/>
    <w:rsid w:val="00D02F24"/>
    <w:rsid w:val="00D032D3"/>
    <w:rsid w:val="00D048F2"/>
    <w:rsid w:val="00D0630E"/>
    <w:rsid w:val="00D070C5"/>
    <w:rsid w:val="00D107CD"/>
    <w:rsid w:val="00D10D8D"/>
    <w:rsid w:val="00D10DE6"/>
    <w:rsid w:val="00D112C4"/>
    <w:rsid w:val="00D13503"/>
    <w:rsid w:val="00D13C2E"/>
    <w:rsid w:val="00D168D3"/>
    <w:rsid w:val="00D17D5B"/>
    <w:rsid w:val="00D20088"/>
    <w:rsid w:val="00D20E73"/>
    <w:rsid w:val="00D2248B"/>
    <w:rsid w:val="00D22AB0"/>
    <w:rsid w:val="00D23621"/>
    <w:rsid w:val="00D24EFA"/>
    <w:rsid w:val="00D25137"/>
    <w:rsid w:val="00D2744F"/>
    <w:rsid w:val="00D2745F"/>
    <w:rsid w:val="00D31363"/>
    <w:rsid w:val="00D3161C"/>
    <w:rsid w:val="00D31A0E"/>
    <w:rsid w:val="00D34C98"/>
    <w:rsid w:val="00D35143"/>
    <w:rsid w:val="00D369D6"/>
    <w:rsid w:val="00D373CD"/>
    <w:rsid w:val="00D37E51"/>
    <w:rsid w:val="00D41FD4"/>
    <w:rsid w:val="00D430AC"/>
    <w:rsid w:val="00D46B4E"/>
    <w:rsid w:val="00D4771D"/>
    <w:rsid w:val="00D4790E"/>
    <w:rsid w:val="00D50078"/>
    <w:rsid w:val="00D50384"/>
    <w:rsid w:val="00D51FCB"/>
    <w:rsid w:val="00D520B7"/>
    <w:rsid w:val="00D52523"/>
    <w:rsid w:val="00D54421"/>
    <w:rsid w:val="00D54B6C"/>
    <w:rsid w:val="00D57A8E"/>
    <w:rsid w:val="00D57E7A"/>
    <w:rsid w:val="00D6100C"/>
    <w:rsid w:val="00D6219D"/>
    <w:rsid w:val="00D62267"/>
    <w:rsid w:val="00D64285"/>
    <w:rsid w:val="00D66F1F"/>
    <w:rsid w:val="00D67C4A"/>
    <w:rsid w:val="00D715B9"/>
    <w:rsid w:val="00D71A3C"/>
    <w:rsid w:val="00D722E8"/>
    <w:rsid w:val="00D72F36"/>
    <w:rsid w:val="00D76A2C"/>
    <w:rsid w:val="00D76CAB"/>
    <w:rsid w:val="00D80826"/>
    <w:rsid w:val="00D80D0B"/>
    <w:rsid w:val="00D81B15"/>
    <w:rsid w:val="00D828D5"/>
    <w:rsid w:val="00D86699"/>
    <w:rsid w:val="00D937AE"/>
    <w:rsid w:val="00D9479F"/>
    <w:rsid w:val="00D9646F"/>
    <w:rsid w:val="00D96C55"/>
    <w:rsid w:val="00D974EC"/>
    <w:rsid w:val="00D9761C"/>
    <w:rsid w:val="00D97872"/>
    <w:rsid w:val="00DA0BCE"/>
    <w:rsid w:val="00DA48EF"/>
    <w:rsid w:val="00DA5BC6"/>
    <w:rsid w:val="00DA651C"/>
    <w:rsid w:val="00DB0010"/>
    <w:rsid w:val="00DB2386"/>
    <w:rsid w:val="00DB413C"/>
    <w:rsid w:val="00DB5711"/>
    <w:rsid w:val="00DB5FD6"/>
    <w:rsid w:val="00DB6524"/>
    <w:rsid w:val="00DB6BCF"/>
    <w:rsid w:val="00DB70E5"/>
    <w:rsid w:val="00DB7421"/>
    <w:rsid w:val="00DB7A4F"/>
    <w:rsid w:val="00DC0403"/>
    <w:rsid w:val="00DC04FC"/>
    <w:rsid w:val="00DC0539"/>
    <w:rsid w:val="00DC207B"/>
    <w:rsid w:val="00DC2B33"/>
    <w:rsid w:val="00DC31D6"/>
    <w:rsid w:val="00DC4E9C"/>
    <w:rsid w:val="00DC5827"/>
    <w:rsid w:val="00DC627A"/>
    <w:rsid w:val="00DD0305"/>
    <w:rsid w:val="00DD1CB0"/>
    <w:rsid w:val="00DD1F84"/>
    <w:rsid w:val="00DD357B"/>
    <w:rsid w:val="00DD3A63"/>
    <w:rsid w:val="00DD5561"/>
    <w:rsid w:val="00DD6931"/>
    <w:rsid w:val="00DD70F3"/>
    <w:rsid w:val="00DE0AC2"/>
    <w:rsid w:val="00DE0B42"/>
    <w:rsid w:val="00DE0BEF"/>
    <w:rsid w:val="00DE196C"/>
    <w:rsid w:val="00DE1F3A"/>
    <w:rsid w:val="00DE2CC5"/>
    <w:rsid w:val="00DE6ED2"/>
    <w:rsid w:val="00DE744F"/>
    <w:rsid w:val="00DF0290"/>
    <w:rsid w:val="00DF07F5"/>
    <w:rsid w:val="00DF11DB"/>
    <w:rsid w:val="00DF15DC"/>
    <w:rsid w:val="00DF1DEF"/>
    <w:rsid w:val="00DF4832"/>
    <w:rsid w:val="00DF50BD"/>
    <w:rsid w:val="00DF5B4F"/>
    <w:rsid w:val="00DF61A0"/>
    <w:rsid w:val="00DF71ED"/>
    <w:rsid w:val="00E04251"/>
    <w:rsid w:val="00E043CB"/>
    <w:rsid w:val="00E04F21"/>
    <w:rsid w:val="00E05610"/>
    <w:rsid w:val="00E05950"/>
    <w:rsid w:val="00E06208"/>
    <w:rsid w:val="00E06C3A"/>
    <w:rsid w:val="00E074DC"/>
    <w:rsid w:val="00E11088"/>
    <w:rsid w:val="00E11DB5"/>
    <w:rsid w:val="00E138AA"/>
    <w:rsid w:val="00E14F46"/>
    <w:rsid w:val="00E17500"/>
    <w:rsid w:val="00E17C62"/>
    <w:rsid w:val="00E2023B"/>
    <w:rsid w:val="00E20D13"/>
    <w:rsid w:val="00E211B1"/>
    <w:rsid w:val="00E21431"/>
    <w:rsid w:val="00E219DF"/>
    <w:rsid w:val="00E22B87"/>
    <w:rsid w:val="00E23CCF"/>
    <w:rsid w:val="00E240D3"/>
    <w:rsid w:val="00E24A5E"/>
    <w:rsid w:val="00E261FE"/>
    <w:rsid w:val="00E26993"/>
    <w:rsid w:val="00E26E36"/>
    <w:rsid w:val="00E3027D"/>
    <w:rsid w:val="00E314AE"/>
    <w:rsid w:val="00E31BE7"/>
    <w:rsid w:val="00E31D3D"/>
    <w:rsid w:val="00E32228"/>
    <w:rsid w:val="00E32972"/>
    <w:rsid w:val="00E32BC1"/>
    <w:rsid w:val="00E3464D"/>
    <w:rsid w:val="00E34A23"/>
    <w:rsid w:val="00E358E3"/>
    <w:rsid w:val="00E35E0C"/>
    <w:rsid w:val="00E40720"/>
    <w:rsid w:val="00E40B66"/>
    <w:rsid w:val="00E4519A"/>
    <w:rsid w:val="00E45A4A"/>
    <w:rsid w:val="00E46172"/>
    <w:rsid w:val="00E4738A"/>
    <w:rsid w:val="00E50913"/>
    <w:rsid w:val="00E56BF3"/>
    <w:rsid w:val="00E64256"/>
    <w:rsid w:val="00E65E11"/>
    <w:rsid w:val="00E675A2"/>
    <w:rsid w:val="00E67A1E"/>
    <w:rsid w:val="00E72821"/>
    <w:rsid w:val="00E73508"/>
    <w:rsid w:val="00E736F4"/>
    <w:rsid w:val="00E74349"/>
    <w:rsid w:val="00E74BAE"/>
    <w:rsid w:val="00E750ED"/>
    <w:rsid w:val="00E76A73"/>
    <w:rsid w:val="00E816BF"/>
    <w:rsid w:val="00E821A4"/>
    <w:rsid w:val="00E82F5F"/>
    <w:rsid w:val="00E83E89"/>
    <w:rsid w:val="00E840E1"/>
    <w:rsid w:val="00E84727"/>
    <w:rsid w:val="00E859AB"/>
    <w:rsid w:val="00E86D00"/>
    <w:rsid w:val="00E91711"/>
    <w:rsid w:val="00E922F5"/>
    <w:rsid w:val="00E92DF9"/>
    <w:rsid w:val="00E9341A"/>
    <w:rsid w:val="00E95154"/>
    <w:rsid w:val="00EA0546"/>
    <w:rsid w:val="00EA1CD8"/>
    <w:rsid w:val="00EA2C1E"/>
    <w:rsid w:val="00EA3049"/>
    <w:rsid w:val="00EA3592"/>
    <w:rsid w:val="00EA3D3F"/>
    <w:rsid w:val="00EA45F0"/>
    <w:rsid w:val="00EA62BE"/>
    <w:rsid w:val="00EA62F8"/>
    <w:rsid w:val="00EB0956"/>
    <w:rsid w:val="00EB0F29"/>
    <w:rsid w:val="00EB3C18"/>
    <w:rsid w:val="00EB45FA"/>
    <w:rsid w:val="00EB47D1"/>
    <w:rsid w:val="00EB6C8D"/>
    <w:rsid w:val="00EB6CF7"/>
    <w:rsid w:val="00EC1C5A"/>
    <w:rsid w:val="00EC230B"/>
    <w:rsid w:val="00EC27C1"/>
    <w:rsid w:val="00EC3E2C"/>
    <w:rsid w:val="00EC53DB"/>
    <w:rsid w:val="00EC5E8C"/>
    <w:rsid w:val="00ED111E"/>
    <w:rsid w:val="00ED26FC"/>
    <w:rsid w:val="00ED32FD"/>
    <w:rsid w:val="00ED3FF5"/>
    <w:rsid w:val="00ED4C16"/>
    <w:rsid w:val="00ED6BEB"/>
    <w:rsid w:val="00EE06F6"/>
    <w:rsid w:val="00EE2DCC"/>
    <w:rsid w:val="00EE6022"/>
    <w:rsid w:val="00EF1406"/>
    <w:rsid w:val="00EF1E0E"/>
    <w:rsid w:val="00EF1E6A"/>
    <w:rsid w:val="00EF2CD2"/>
    <w:rsid w:val="00EF3652"/>
    <w:rsid w:val="00EF5A50"/>
    <w:rsid w:val="00EF7786"/>
    <w:rsid w:val="00F011C1"/>
    <w:rsid w:val="00F03A51"/>
    <w:rsid w:val="00F0755C"/>
    <w:rsid w:val="00F07F9C"/>
    <w:rsid w:val="00F1041E"/>
    <w:rsid w:val="00F10AFF"/>
    <w:rsid w:val="00F11E2F"/>
    <w:rsid w:val="00F12AC1"/>
    <w:rsid w:val="00F221A5"/>
    <w:rsid w:val="00F25699"/>
    <w:rsid w:val="00F2603E"/>
    <w:rsid w:val="00F26718"/>
    <w:rsid w:val="00F308F5"/>
    <w:rsid w:val="00F34F01"/>
    <w:rsid w:val="00F37237"/>
    <w:rsid w:val="00F37553"/>
    <w:rsid w:val="00F37675"/>
    <w:rsid w:val="00F37773"/>
    <w:rsid w:val="00F377D3"/>
    <w:rsid w:val="00F4019D"/>
    <w:rsid w:val="00F4047E"/>
    <w:rsid w:val="00F4058E"/>
    <w:rsid w:val="00F407EA"/>
    <w:rsid w:val="00F42CAD"/>
    <w:rsid w:val="00F43278"/>
    <w:rsid w:val="00F445B8"/>
    <w:rsid w:val="00F4554B"/>
    <w:rsid w:val="00F45C02"/>
    <w:rsid w:val="00F45F56"/>
    <w:rsid w:val="00F47F12"/>
    <w:rsid w:val="00F51171"/>
    <w:rsid w:val="00F51B90"/>
    <w:rsid w:val="00F53C93"/>
    <w:rsid w:val="00F547CB"/>
    <w:rsid w:val="00F57029"/>
    <w:rsid w:val="00F61772"/>
    <w:rsid w:val="00F61F33"/>
    <w:rsid w:val="00F62643"/>
    <w:rsid w:val="00F64864"/>
    <w:rsid w:val="00F6507D"/>
    <w:rsid w:val="00F650A9"/>
    <w:rsid w:val="00F70420"/>
    <w:rsid w:val="00F71525"/>
    <w:rsid w:val="00F715E1"/>
    <w:rsid w:val="00F736FE"/>
    <w:rsid w:val="00F7373A"/>
    <w:rsid w:val="00F74134"/>
    <w:rsid w:val="00F744AE"/>
    <w:rsid w:val="00F74F3E"/>
    <w:rsid w:val="00F762CF"/>
    <w:rsid w:val="00F77A8C"/>
    <w:rsid w:val="00F806AF"/>
    <w:rsid w:val="00F80D36"/>
    <w:rsid w:val="00F836EE"/>
    <w:rsid w:val="00F83F86"/>
    <w:rsid w:val="00F86CE2"/>
    <w:rsid w:val="00F87998"/>
    <w:rsid w:val="00F92F9D"/>
    <w:rsid w:val="00F9358B"/>
    <w:rsid w:val="00F95FC9"/>
    <w:rsid w:val="00F96FB7"/>
    <w:rsid w:val="00F96FCE"/>
    <w:rsid w:val="00F9754C"/>
    <w:rsid w:val="00FA1955"/>
    <w:rsid w:val="00FA3716"/>
    <w:rsid w:val="00FB1AAC"/>
    <w:rsid w:val="00FB239C"/>
    <w:rsid w:val="00FB27A6"/>
    <w:rsid w:val="00FB301E"/>
    <w:rsid w:val="00FB3AC5"/>
    <w:rsid w:val="00FB74D3"/>
    <w:rsid w:val="00FB7A1D"/>
    <w:rsid w:val="00FC0429"/>
    <w:rsid w:val="00FC1372"/>
    <w:rsid w:val="00FC2A85"/>
    <w:rsid w:val="00FC55BA"/>
    <w:rsid w:val="00FC55E3"/>
    <w:rsid w:val="00FC5B3B"/>
    <w:rsid w:val="00FC5BB0"/>
    <w:rsid w:val="00FC648A"/>
    <w:rsid w:val="00FD088D"/>
    <w:rsid w:val="00FD0C9E"/>
    <w:rsid w:val="00FD3B83"/>
    <w:rsid w:val="00FD3D9B"/>
    <w:rsid w:val="00FD56C2"/>
    <w:rsid w:val="00FE009B"/>
    <w:rsid w:val="00FE0252"/>
    <w:rsid w:val="00FE05A8"/>
    <w:rsid w:val="00FE086D"/>
    <w:rsid w:val="00FE127D"/>
    <w:rsid w:val="00FE1EE0"/>
    <w:rsid w:val="00FE33FD"/>
    <w:rsid w:val="00FE3B98"/>
    <w:rsid w:val="00FE4792"/>
    <w:rsid w:val="00FE4C66"/>
    <w:rsid w:val="00FE66C3"/>
    <w:rsid w:val="00FE6AEF"/>
    <w:rsid w:val="00FE7512"/>
    <w:rsid w:val="00FE7CAE"/>
    <w:rsid w:val="00FF1CC6"/>
    <w:rsid w:val="00FF1FCC"/>
    <w:rsid w:val="00FF236D"/>
    <w:rsid w:val="00FF2E6C"/>
    <w:rsid w:val="00FF3C83"/>
    <w:rsid w:val="00FF4601"/>
    <w:rsid w:val="00FF4714"/>
    <w:rsid w:val="00FF511B"/>
    <w:rsid w:val="00FF6892"/>
    <w:rsid w:val="00FF6E9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97683-54B9-448D-A9CA-5B5F38B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C6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Robillard, Marc</dc:creator>
  <cp:keywords/>
  <dc:description/>
  <cp:lastModifiedBy>brian gorman</cp:lastModifiedBy>
  <cp:revision>2</cp:revision>
  <dcterms:created xsi:type="dcterms:W3CDTF">2018-05-15T20:45:00Z</dcterms:created>
  <dcterms:modified xsi:type="dcterms:W3CDTF">2018-05-15T20:45:00Z</dcterms:modified>
</cp:coreProperties>
</file>